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eastAsia="宋体"/>
          <w:b/>
          <w:color w:val="auto"/>
          <w:highlight w:val="none"/>
          <w:lang w:val="en-US" w:eastAsia="zh-CN"/>
        </w:rPr>
      </w:pPr>
      <w:bookmarkStart w:id="0" w:name="_GoBack"/>
      <w:bookmarkEnd w:id="0"/>
      <w:r>
        <w:rPr>
          <w:rFonts w:hint="eastAsia"/>
          <w:b/>
          <w:color w:val="auto"/>
          <w:highlight w:val="none"/>
          <w:lang w:val="en-US" w:eastAsia="zh-CN"/>
        </w:rPr>
        <w:t>附件2：专用资质业绩要求</w:t>
      </w:r>
    </w:p>
    <w:tbl>
      <w:tblPr>
        <w:tblStyle w:val="95"/>
        <w:tblW w:w="15119" w:type="dxa"/>
        <w:jc w:val="center"/>
        <w:tblInd w:w="0" w:type="dxa"/>
        <w:tblLayout w:type="fixed"/>
        <w:tblCellMar>
          <w:top w:w="15" w:type="dxa"/>
          <w:left w:w="15" w:type="dxa"/>
          <w:bottom w:w="15" w:type="dxa"/>
          <w:right w:w="15" w:type="dxa"/>
        </w:tblCellMar>
      </w:tblPr>
      <w:tblGrid>
        <w:gridCol w:w="675"/>
        <w:gridCol w:w="705"/>
        <w:gridCol w:w="810"/>
        <w:gridCol w:w="675"/>
        <w:gridCol w:w="1482"/>
        <w:gridCol w:w="1530"/>
        <w:gridCol w:w="1530"/>
        <w:gridCol w:w="1084"/>
        <w:gridCol w:w="1766"/>
        <w:gridCol w:w="1492"/>
        <w:gridCol w:w="1275"/>
        <w:gridCol w:w="2095"/>
      </w:tblGrid>
      <w:tr>
        <w:tblPrEx>
          <w:tblLayout w:type="fixed"/>
          <w:tblCellMar>
            <w:top w:w="15" w:type="dxa"/>
            <w:left w:w="15" w:type="dxa"/>
            <w:bottom w:w="15" w:type="dxa"/>
            <w:right w:w="15" w:type="dxa"/>
          </w:tblCellMar>
        </w:tblPrEx>
        <w:trPr>
          <w:trHeight w:val="375" w:hRule="atLeast"/>
          <w:tblHeader/>
          <w:jc w:val="center"/>
        </w:trPr>
        <w:tc>
          <w:tcPr>
            <w:tcW w:w="67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auto"/>
                <w:sz w:val="20"/>
                <w:szCs w:val="20"/>
                <w:highlight w:val="none"/>
              </w:rPr>
            </w:pPr>
            <w:r>
              <w:rPr>
                <w:rFonts w:hint="eastAsia" w:ascii="宋体" w:hAnsi="宋体" w:cs="宋体"/>
                <w:b/>
                <w:color w:val="auto"/>
                <w:kern w:val="0"/>
                <w:sz w:val="20"/>
                <w:szCs w:val="20"/>
                <w:highlight w:val="none"/>
              </w:rPr>
              <w:t>序号</w:t>
            </w:r>
          </w:p>
        </w:tc>
        <w:tc>
          <w:tcPr>
            <w:tcW w:w="70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auto"/>
                <w:sz w:val="20"/>
                <w:szCs w:val="20"/>
                <w:highlight w:val="none"/>
              </w:rPr>
            </w:pPr>
            <w:r>
              <w:rPr>
                <w:rFonts w:hint="eastAsia" w:ascii="宋体" w:hAnsi="宋体" w:cs="宋体"/>
                <w:b/>
                <w:color w:val="auto"/>
                <w:kern w:val="0"/>
                <w:sz w:val="20"/>
                <w:szCs w:val="20"/>
                <w:highlight w:val="none"/>
              </w:rPr>
              <w:t>物资大类</w:t>
            </w:r>
          </w:p>
        </w:tc>
        <w:tc>
          <w:tcPr>
            <w:tcW w:w="81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auto"/>
                <w:sz w:val="20"/>
                <w:szCs w:val="20"/>
                <w:highlight w:val="none"/>
              </w:rPr>
            </w:pPr>
            <w:r>
              <w:rPr>
                <w:rFonts w:hint="eastAsia" w:ascii="宋体" w:hAnsi="宋体" w:cs="宋体"/>
                <w:b/>
                <w:color w:val="auto"/>
                <w:kern w:val="0"/>
                <w:sz w:val="20"/>
                <w:szCs w:val="20"/>
                <w:highlight w:val="none"/>
              </w:rPr>
              <w:t>物资中类</w:t>
            </w:r>
          </w:p>
        </w:tc>
        <w:tc>
          <w:tcPr>
            <w:tcW w:w="67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auto"/>
                <w:sz w:val="20"/>
                <w:szCs w:val="20"/>
                <w:highlight w:val="none"/>
              </w:rPr>
            </w:pPr>
            <w:r>
              <w:rPr>
                <w:rFonts w:hint="eastAsia" w:ascii="宋体" w:hAnsi="宋体" w:cs="宋体"/>
                <w:b/>
                <w:color w:val="auto"/>
                <w:kern w:val="0"/>
                <w:sz w:val="20"/>
                <w:szCs w:val="20"/>
                <w:highlight w:val="none"/>
              </w:rPr>
              <w:t>物资小类</w:t>
            </w:r>
          </w:p>
        </w:tc>
        <w:tc>
          <w:tcPr>
            <w:tcW w:w="12254"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auto"/>
                <w:sz w:val="20"/>
                <w:szCs w:val="20"/>
                <w:highlight w:val="none"/>
              </w:rPr>
            </w:pPr>
            <w:r>
              <w:rPr>
                <w:rFonts w:hint="eastAsia" w:ascii="宋体" w:hAnsi="宋体" w:cs="宋体"/>
                <w:b/>
                <w:color w:val="auto"/>
                <w:kern w:val="0"/>
                <w:sz w:val="20"/>
                <w:szCs w:val="20"/>
                <w:highlight w:val="none"/>
              </w:rPr>
              <w:t>资质要求</w:t>
            </w:r>
          </w:p>
        </w:tc>
      </w:tr>
      <w:tr>
        <w:tblPrEx>
          <w:tblLayout w:type="fixed"/>
          <w:tblCellMar>
            <w:top w:w="15" w:type="dxa"/>
            <w:left w:w="15" w:type="dxa"/>
            <w:bottom w:w="15" w:type="dxa"/>
            <w:right w:w="15" w:type="dxa"/>
          </w:tblCellMar>
        </w:tblPrEx>
        <w:trPr>
          <w:trHeight w:val="795" w:hRule="atLeast"/>
          <w:tblHeader/>
          <w:jc w:val="cent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color w:val="auto"/>
                <w:sz w:val="20"/>
                <w:szCs w:val="20"/>
                <w:highlight w:val="none"/>
              </w:rPr>
            </w:pP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color w:val="auto"/>
                <w:sz w:val="20"/>
                <w:szCs w:val="20"/>
                <w:highlight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color w:val="auto"/>
                <w:sz w:val="20"/>
                <w:szCs w:val="20"/>
                <w:highlight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color w:val="auto"/>
                <w:sz w:val="20"/>
                <w:szCs w:val="20"/>
                <w:highlight w:val="none"/>
              </w:rPr>
            </w:pP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auto"/>
                <w:sz w:val="20"/>
                <w:szCs w:val="20"/>
                <w:highlight w:val="none"/>
              </w:rPr>
            </w:pPr>
            <w:r>
              <w:rPr>
                <w:rFonts w:hint="eastAsia" w:ascii="宋体" w:hAnsi="宋体" w:cs="宋体"/>
                <w:b/>
                <w:color w:val="auto"/>
                <w:kern w:val="0"/>
                <w:sz w:val="20"/>
                <w:szCs w:val="20"/>
                <w:highlight w:val="none"/>
              </w:rPr>
              <w:t>供货业绩</w:t>
            </w: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auto"/>
                <w:sz w:val="20"/>
                <w:szCs w:val="20"/>
                <w:highlight w:val="none"/>
              </w:rPr>
            </w:pPr>
            <w:r>
              <w:rPr>
                <w:rFonts w:hint="eastAsia" w:ascii="宋体" w:hAnsi="宋体" w:cs="宋体"/>
                <w:b/>
                <w:color w:val="auto"/>
                <w:kern w:val="0"/>
                <w:sz w:val="20"/>
                <w:szCs w:val="20"/>
                <w:highlight w:val="none"/>
              </w:rPr>
              <w:t>注册资本金</w:t>
            </w: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auto"/>
                <w:sz w:val="20"/>
                <w:szCs w:val="20"/>
                <w:highlight w:val="none"/>
              </w:rPr>
            </w:pPr>
            <w:r>
              <w:rPr>
                <w:rFonts w:hint="eastAsia" w:ascii="宋体" w:hAnsi="宋体" w:cs="宋体"/>
                <w:b/>
                <w:color w:val="auto"/>
                <w:kern w:val="0"/>
                <w:sz w:val="20"/>
                <w:szCs w:val="20"/>
                <w:highlight w:val="none"/>
              </w:rPr>
              <w:t>生产设备</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auto"/>
                <w:sz w:val="20"/>
                <w:szCs w:val="20"/>
                <w:highlight w:val="none"/>
              </w:rPr>
            </w:pPr>
            <w:r>
              <w:rPr>
                <w:rFonts w:hint="eastAsia" w:ascii="宋体" w:hAnsi="宋体" w:cs="宋体"/>
                <w:b/>
                <w:color w:val="auto"/>
                <w:kern w:val="0"/>
                <w:sz w:val="20"/>
                <w:szCs w:val="20"/>
                <w:highlight w:val="none"/>
              </w:rPr>
              <w:t>生产能力</w:t>
            </w: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auto"/>
                <w:sz w:val="20"/>
                <w:szCs w:val="20"/>
                <w:highlight w:val="none"/>
              </w:rPr>
            </w:pPr>
            <w:r>
              <w:rPr>
                <w:rFonts w:hint="eastAsia" w:ascii="宋体" w:hAnsi="宋体" w:cs="宋体"/>
                <w:b/>
                <w:color w:val="auto"/>
                <w:kern w:val="0"/>
                <w:sz w:val="20"/>
                <w:szCs w:val="20"/>
                <w:highlight w:val="none"/>
              </w:rPr>
              <w:t>认证证书</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auto"/>
                <w:sz w:val="20"/>
                <w:szCs w:val="20"/>
                <w:highlight w:val="none"/>
              </w:rPr>
            </w:pPr>
            <w:r>
              <w:rPr>
                <w:rFonts w:hint="eastAsia" w:ascii="宋体" w:hAnsi="宋体" w:cs="宋体"/>
                <w:b/>
                <w:color w:val="auto"/>
                <w:kern w:val="0"/>
                <w:sz w:val="20"/>
                <w:szCs w:val="20"/>
                <w:highlight w:val="none"/>
              </w:rPr>
              <w:t>生产许可证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auto"/>
                <w:sz w:val="20"/>
                <w:szCs w:val="20"/>
                <w:highlight w:val="none"/>
              </w:rPr>
            </w:pPr>
            <w:r>
              <w:rPr>
                <w:rFonts w:hint="eastAsia" w:ascii="宋体" w:hAnsi="宋体" w:cs="宋体"/>
                <w:b/>
                <w:color w:val="auto"/>
                <w:kern w:val="0"/>
                <w:sz w:val="20"/>
                <w:szCs w:val="20"/>
                <w:highlight w:val="none"/>
              </w:rPr>
              <w:t>入网许可证/其他资质要求</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color w:val="auto"/>
                <w:sz w:val="20"/>
                <w:szCs w:val="20"/>
                <w:highlight w:val="none"/>
              </w:rPr>
            </w:pPr>
            <w:r>
              <w:rPr>
                <w:rFonts w:hint="eastAsia" w:ascii="宋体" w:hAnsi="宋体" w:cs="宋体"/>
                <w:b/>
                <w:color w:val="auto"/>
                <w:kern w:val="0"/>
                <w:sz w:val="20"/>
                <w:szCs w:val="20"/>
                <w:highlight w:val="none"/>
              </w:rPr>
              <w:t>产品型式试验报告或检测报告或鉴定报告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1</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一次设备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交流断路器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瓷柱式交流断路器</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r>
              <w:rPr>
                <w:rFonts w:hint="eastAsia" w:ascii="宋体" w:hAnsi="宋体" w:cs="宋体"/>
                <w:color w:val="auto"/>
                <w:kern w:val="0"/>
                <w:sz w:val="18"/>
                <w:szCs w:val="18"/>
                <w:highlight w:val="none"/>
              </w:rPr>
              <w:t>近三年内（以投标截止日计算）10kV电压等级的供货业绩200台及以上</w:t>
            </w: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b/>
                <w:color w:val="auto"/>
                <w:kern w:val="0"/>
                <w:sz w:val="20"/>
                <w:szCs w:val="20"/>
                <w:highlight w:val="none"/>
              </w:rPr>
            </w:pPr>
            <w:r>
              <w:rPr>
                <w:rFonts w:hint="eastAsia" w:ascii="宋体" w:hAnsi="宋体" w:cs="宋体"/>
                <w:color w:val="auto"/>
                <w:kern w:val="0"/>
                <w:sz w:val="18"/>
                <w:szCs w:val="18"/>
                <w:highlight w:val="none"/>
              </w:rPr>
              <w:t>1000万元及以上人民币（注册资本金如为外币，以投标文件递交截止日中国银行公布的外汇牌价买入价折算）</w:t>
            </w: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b/>
                <w:color w:val="auto"/>
                <w:kern w:val="0"/>
                <w:sz w:val="20"/>
                <w:szCs w:val="20"/>
                <w:highlight w:val="none"/>
              </w:rPr>
            </w:pPr>
            <w:r>
              <w:rPr>
                <w:rFonts w:hint="eastAsia" w:ascii="宋体" w:hAnsi="宋体" w:cs="宋体"/>
                <w:color w:val="auto"/>
                <w:kern w:val="0"/>
                <w:sz w:val="18"/>
                <w:szCs w:val="18"/>
                <w:highlight w:val="none"/>
              </w:rPr>
              <w:t>具有完整的制造、工艺装备和试验设备；具有同等电压等级及以上瓷柱式交流断路器研发、设计、制造和出厂试验的能力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b/>
                <w:color w:val="auto"/>
                <w:kern w:val="0"/>
                <w:sz w:val="20"/>
                <w:szCs w:val="20"/>
                <w:highlight w:val="none"/>
              </w:rPr>
            </w:pPr>
            <w:r>
              <w:rPr>
                <w:rFonts w:hint="eastAsia" w:ascii="宋体" w:hAnsi="宋体" w:cs="宋体"/>
                <w:color w:val="auto"/>
                <w:kern w:val="0"/>
                <w:sz w:val="18"/>
                <w:szCs w:val="18"/>
                <w:highlight w:val="none"/>
              </w:rPr>
              <w:t>　</w:t>
            </w: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b/>
                <w:color w:val="auto"/>
                <w:kern w:val="0"/>
                <w:sz w:val="20"/>
                <w:szCs w:val="20"/>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b/>
                <w:color w:val="auto"/>
                <w:kern w:val="0"/>
                <w:sz w:val="20"/>
                <w:szCs w:val="20"/>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b/>
                <w:color w:val="auto"/>
                <w:kern w:val="0"/>
                <w:sz w:val="20"/>
                <w:szCs w:val="20"/>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b/>
                <w:color w:val="auto"/>
                <w:kern w:val="0"/>
                <w:sz w:val="20"/>
                <w:szCs w:val="20"/>
                <w:highlight w:val="none"/>
              </w:rPr>
            </w:pPr>
            <w:r>
              <w:rPr>
                <w:rFonts w:hint="eastAsia" w:ascii="宋体" w:hAnsi="宋体" w:cs="宋体"/>
                <w:color w:val="auto"/>
                <w:kern w:val="0"/>
                <w:sz w:val="18"/>
                <w:szCs w:val="18"/>
                <w:highlight w:val="none"/>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2</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一次设备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交流变压器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移动变电站</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3</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一次设备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小电阻接地成套装置</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小电阻接地成套装置</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4</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二次设备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测控及在线监测系统</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变电在线监测装置</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投标人应提供省级及以上第三方权威检测机构的合格全性能试验报告，或提供相关证明文件。</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5</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二次设备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测控及在线监测系统</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线路在线监测装置</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投标人应提供省级及以上第三方权威检测机构的合格全性能试验报告，或提供相关证明文件。</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6</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二次设备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低压屏（柜）、箱</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eastAsiaTheme="minorEastAsia" w:cstheme="minorEastAsia"/>
                <w:bCs/>
                <w:color w:val="auto"/>
                <w:kern w:val="0"/>
                <w:sz w:val="18"/>
                <w:szCs w:val="18"/>
                <w:highlight w:val="none"/>
              </w:rPr>
            </w:pP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具有完整的制造、工艺装备和试验设备；具有设计、制造能力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7</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二次设备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电源系统</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eastAsiaTheme="minorEastAsia" w:cstheme="minorEastAsia"/>
                <w:bCs/>
                <w:color w:val="auto"/>
                <w:kern w:val="0"/>
                <w:sz w:val="18"/>
                <w:szCs w:val="18"/>
                <w:highlight w:val="none"/>
              </w:rPr>
            </w:pPr>
            <w:r>
              <w:rPr>
                <w:rFonts w:hint="eastAsia" w:cs="Arial"/>
                <w:color w:val="auto"/>
                <w:sz w:val="20"/>
                <w:szCs w:val="20"/>
                <w:highlight w:val="none"/>
                <w:lang w:val="en-US" w:eastAsia="zh-CN"/>
              </w:rPr>
              <w:t>UPS电源（不间断电源）、智能一体化电源系统、直流-48V通信电源成套设备、蓄电池组</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供应商应提供国家认可第三方权威检测机构的有效的型式试验报告及动模试验报告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8</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二次设备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电源系统</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蓄电池放电仪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供应商应提供国家认可第三方权威检测机构的有效的型式试验报告及动模试验报告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9</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二次设备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继电保护及自动装置</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小电流接地选线装置</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供应商应提供国家认可第三方权威检测机构的有效的型式试验报告及动模试验报告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10</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二次设备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用电信息采集</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营销服务移动作业终端</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供应商应提供国家认可第三方权威检测机构的有效的型式试验报告及动模试验报告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11</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二次设备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用电信息采集</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回路状态巡检仪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供应商应提供国家认可第三方权威检测机构的有效的型式试验报告及动模试验报告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shd w:val="clear" w:color="FFFFFF" w:fill="D9D9D9"/>
              </w:rPr>
            </w:pPr>
            <w:r>
              <w:rPr>
                <w:rFonts w:hint="eastAsia" w:asciiTheme="minorEastAsia" w:hAnsiTheme="minorEastAsia" w:eastAsiaTheme="minorEastAsia" w:cstheme="minorEastAsia"/>
                <w:bCs/>
                <w:color w:val="auto"/>
                <w:sz w:val="18"/>
                <w:szCs w:val="18"/>
                <w:highlight w:val="none"/>
                <w:shd w:val="clear" w:color="FFFFFF" w:fill="D9D9D9"/>
              </w:rPr>
              <w:t>12</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二次设备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自动化系统及设备</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电力市场技术支持系统</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r>
              <w:rPr>
                <w:rFonts w:hint="eastAsia" w:ascii="宋体" w:hAnsi="宋体" w:cs="宋体"/>
                <w:color w:val="auto"/>
                <w:kern w:val="0"/>
                <w:sz w:val="18"/>
                <w:szCs w:val="18"/>
                <w:highlight w:val="none"/>
              </w:rPr>
              <w:t>近三年至少具有两个及以上同等规模类似工程的集成业绩。</w:t>
            </w: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r>
              <w:rPr>
                <w:rFonts w:hint="eastAsia" w:ascii="宋体" w:hAnsi="宋体" w:cs="宋体"/>
                <w:color w:val="auto"/>
                <w:kern w:val="0"/>
                <w:sz w:val="18"/>
                <w:szCs w:val="18"/>
                <w:highlight w:val="none"/>
              </w:rPr>
              <w:t>注册资金不少于300万元人民币</w:t>
            </w: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具有三级及以上信息集成及服务资质证书</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r>
              <w:rPr>
                <w:rFonts w:hint="eastAsia" w:ascii="宋体" w:hAnsi="宋体" w:cs="宋体"/>
                <w:color w:val="auto"/>
                <w:kern w:val="0"/>
                <w:sz w:val="18"/>
                <w:szCs w:val="18"/>
                <w:highlight w:val="none"/>
              </w:rPr>
              <w:t>提供LED显示屏省级及以上检测机构出具的检验报告及3C认证证书</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13</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二次设备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自动化系统及设备</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二次系统安全防护设备</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r>
              <w:rPr>
                <w:rFonts w:hint="eastAsia" w:ascii="宋体" w:hAnsi="宋体" w:cs="宋体"/>
                <w:color w:val="auto"/>
                <w:kern w:val="0"/>
                <w:sz w:val="18"/>
                <w:szCs w:val="18"/>
                <w:highlight w:val="none"/>
              </w:rPr>
              <w:t>至少两个类似项目销售业绩</w:t>
            </w: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产品必须为具有自主知识产权的国产设备，经公安部、国家信息安全测评认证中心等国家权威部门测试通过，并获得安全产品销售许可证。投标产品应在电力行业测评机构经过测评，硬件产品必须符合变电站电磁兼容要求的电磁兼容三级要求，出具相应检测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14</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二次设备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kern w:val="0"/>
                <w:sz w:val="18"/>
                <w:szCs w:val="18"/>
                <w:highlight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主设备全面监视系统</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供应商应提供国家认可第三方权威检测机构的有效的型式试验报告及动模试验报告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15</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二次设备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kern w:val="0"/>
                <w:sz w:val="18"/>
                <w:szCs w:val="18"/>
                <w:highlight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运维班全面监视系统</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供应商应提供国家认可第三方权威检测机构的有效的型式试验报告及动模试验报告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16</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智能变电站二次设备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智能变电站测控及在线监测系统</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智能变电站变压器油中溶解气体在线监测装置</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供应商应提供国家认可第三方权威检测机构的有效的型式试验报告及动模试验报告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17</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智能变电站二次设备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智能变电站测控及在线监测系统</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智能变电站辅助系统综合监控平台</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供应商应提供国家认可第三方权威检测机构的有效的型式试验报告及动模试验报告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18</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智能变电站二次设备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智能变电站测控及在线监测系统</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智能变电站状态监测</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19</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智能变电站二次设备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智能变电站用电信息采集</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智能变电站电能量采集终端</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20</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通信设备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电话及电视会议系统</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电视会议外围成套设备</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供应商应提供国家认可第三方权威检测机构的有效的检测报告。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21</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信息设备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信息安全设备</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上网行为管理</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供应商应提供国家认可第三方权威检测机构的有效的检测报告。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22</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信息设备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信息安全设备</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硬件加密机</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23</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信息设备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信息安全设备</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隔离设备</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24</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信息设备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机房设备</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模块化数据中心</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25</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办公类用品</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办公电器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净水器</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注册资金不小于500万元人民币</w:t>
            </w: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具有ISO9001系列质量管理体系认证、ISO14000环境管理体系认证、GB/T28001/2001职业健康管理体系认证</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提供省级及以上相关卫生监督部门颁发的饮用水卫生安全产品卫生许可批准</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供应商应提供所投产品省级及以上质量监督部门出具的产品检验报告。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26</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应用软件</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成熟套装软件</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应用软件</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具有完整的制开发、测试环境；</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kern w:val="0"/>
                <w:sz w:val="18"/>
                <w:szCs w:val="18"/>
                <w:highlight w:val="none"/>
              </w:rPr>
            </w:pP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27</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软件</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安全软件</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系统安全软件</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具有完整的制开发、测试环境；</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kern w:val="0"/>
                <w:sz w:val="18"/>
                <w:szCs w:val="18"/>
                <w:highlight w:val="none"/>
              </w:rPr>
            </w:pP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28</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办公类用品</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办公设备</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数码设备</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29</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工器具</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登高、安全工具（带电作业）</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组合绝缘杆</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制造厂家具有完整的制造、工艺装备和试验设备；具有同类设备研发、设计、制造和出厂试验的能力。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供应商应提供国家认可省级及以上检测机构的有效的鉴定报告或检测报告。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30</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工器具</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登高、安全工具（不带电作业）</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升降平台</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制造厂家具有完整的制造、工艺装备和试验设备；具有同类设备研发、设计、制造和出厂试验的能力。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供应商应提供国家认可省级及以上检测机构的有效的鉴定报告或检测报告。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31</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工器具</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登高、安全工具（带电作业）</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清扫刷</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制造厂家具有完整的制造、工艺装备和试验设备；具有同类设备研发、设计、制造和出厂试验的能力。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供应商应提供国家认可省级及以上检测机构的有效的鉴定报告或检测报告。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32</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工器具</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登高、安全工具（带电作业）</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提升器</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制造厂家具有完整的制造、工艺装备和试验设备；具有同类设备研发、设计、制造和出厂试验的能力。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供应商应提供国家认可省级及以上检测机构的有效的鉴定报告或检测报告。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rPr>
              <w:t>33</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装置性材料</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绝缘子</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交流盘形悬式瓷复合绝缘子</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r>
              <w:rPr>
                <w:rFonts w:hint="eastAsia" w:ascii="宋体" w:hAnsi="宋体" w:cs="宋体"/>
                <w:color w:val="auto"/>
                <w:kern w:val="0"/>
                <w:sz w:val="18"/>
                <w:szCs w:val="18"/>
                <w:highlight w:val="none"/>
              </w:rPr>
              <w:t>同等电压等级及高海拔地区销售业绩不少于20万片（只）</w:t>
            </w: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具有完整的制造、工艺装备和试验设备；具有同等电压等级及以上复合绝缘子研发、设计、制造和出厂试验的能力。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34</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装置性材料</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杆塔类</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铁塔</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地市级以上检验报告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35</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装置性材料</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金具</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保护金具-均压屏蔽环</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具有同等电压等级及以上金具研发、设计、制造和出厂试验的能力；具有完整的制造、工艺装备和试验设备。</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供应商应提供国家认可的生产许可证（定型金具）</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36</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SF6气体回收装置</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具有ISO9000系列质量管理体系认证证书及年检记录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通过有关部门鉴定并有有效的试验报告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37</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电力设施安全防护防盗、消防系统</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变压器灭火装置</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提供固定灭火水流及耐火构件检验合格证书，进口产品应具有UL、FM或VDS认证，并提供认证材料</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供应商应提供公安消防检测机构颁发的有效的型式试验报告或鉴定合格证</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38</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电力设施安全防护防盗、消防系统</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火灾报警系统</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具有ISO9000系列质量管理体系认证证书及年检记录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具有公安消防部门颁发的产品生产许可证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供应商应提供公安消防检测机构颁发的有效的型式试验报告或鉴定合格证</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39</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制氧设备</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r>
              <w:rPr>
                <w:rFonts w:hint="eastAsia" w:ascii="宋体" w:hAnsi="宋体" w:cs="宋体"/>
                <w:color w:val="auto"/>
                <w:kern w:val="0"/>
                <w:sz w:val="18"/>
                <w:szCs w:val="18"/>
                <w:highlight w:val="none"/>
              </w:rPr>
              <w:t>代理商：500万元及以上人民币，制造商：1000万元及以上人民币</w:t>
            </w: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40</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电动汽车充换电站</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换电系统</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具有ISO9000系列质量管理体系认证证书及年检记录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供应商应提供国家认可第三方权威检测机构的有效的型式试验报告、检测报告。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41</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车辆</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电力专用作业车</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42</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车辆</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消防车</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r>
              <w:rPr>
                <w:rFonts w:hint="eastAsia" w:ascii="宋体" w:hAnsi="宋体" w:cs="宋体"/>
                <w:color w:val="auto"/>
                <w:kern w:val="0"/>
                <w:sz w:val="18"/>
                <w:szCs w:val="18"/>
                <w:highlight w:val="none"/>
              </w:rPr>
              <w:t>有消防车、灭火剂类似产品销售业绩</w:t>
            </w: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具有ISO9001系列质量管理体系认证证书及年检记录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消防车、灭火剂的3CF认证证书</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国家权威检测机构出具的产品检验报告及产品鉴定证书。</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43</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车辆</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专用汽车-箱式</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r>
              <w:rPr>
                <w:rFonts w:hint="eastAsia" w:ascii="宋体" w:hAnsi="宋体" w:cs="宋体"/>
                <w:color w:val="auto"/>
                <w:kern w:val="0"/>
                <w:sz w:val="18"/>
                <w:szCs w:val="18"/>
                <w:highlight w:val="none"/>
              </w:rPr>
              <w:t>保温(冷藏)车</w:t>
            </w: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44</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车辆</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轮式自行机械车</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46</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电梯</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具有ISO9001系列质量管理体系认证、ISO14000环保认证、OHSASI18000安全认证证书及年检记录、国家质量监督检验检疫总局颁发的国家C级电梯安装维修资质证书</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生产厂商必须具有特种设备生产许可证、具有电梯安装资质证、安全生产许可证（A级特种设备（电梯）制造许可证、B级特种设备（电梯）安装改造维修及其以上资质）</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电梯安装维护人员需具备《特种人员作业证》</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主要安全部件均应有中国国家电梯质量检测中心认证</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47</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手持机(PDA)</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具有ISO9000系列质量管理体系认证证书及年检记录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国家权威部门颁发的和招标产品对应的有效的生产制造许可证（CMC）</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48</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除冰装置</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具有ISO9000系列质量管理体系认证证书及年检记录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国家权威部门颁发的和招标产品对应的有效的生产制造许可证（CMC）</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49</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供水、暖系统</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电取暖设备</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具有ISO9001系列质量管理体系、ISO14001环境管理体系和OHSAS18001职业健康安全管理体系认证证书及年检记录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国家权威部门颁发的和招标产品对应的有效的特种设备制造安装维修资格证书</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50</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辅助设施</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抢修塔</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具有ISO9000系列质量管理体系认证证书及年检记录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具有生产许可证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51</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起重设备</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具有ISO9000系列质量管理体系认证证书及年检记录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应具有《特种设备制造许可证》，同时具有特种设备安装改造维修许可证（起重机械）A级</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52</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扫地机</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53</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洗涤设备</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具有ISO9001系列质量管理体系认证、ISO14000环保认证、OHSASI18000安全认证证书及年检记录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洗涤设备具有国家质量监督检验检疫总局颁发的有效生产许可证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具有经国家认定的质量检测机构出具的检测报告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54</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小型发电机</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注册资金不小于200万元人民币</w:t>
            </w: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具有ISO9000系列质量管理体系认证证书及年检记录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国家权威部门颁发的和招标产品对应的有效的生产制造许可证（CMC）</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55</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救援设备</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救援顶杆</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具有ISO9000系列质量管理体系认证证书及年检记录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公安部消防局发布的合格生产厂家产品目录里的产品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供应商应提供国家认可第三方权威检测机构的有效的型式试验报告、检测报告。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56</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混凝土含气量测试仪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具有ISO9000系列质量管理体系认证证书及年检记录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供应商应提供国家认可第三方权威检测机构的有效的型式试验报告、检测报告。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57</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辅助设备</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厨房成套设备</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注册资金不小于2000万元人民币</w:t>
            </w: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具有ISO9001系列质量管理体系认证、ISO14000环境管理体系认证、GB/T28001/2001职业健康管理体系认证</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供应商应提供所投产品省级及以上质量监督部门出具的产品检验报告。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58</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电气仪器仪表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高压试验仿真仪器</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59</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电气仪器仪表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直流系统测试仪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60</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大地测量、测距仪器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测厚仪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61</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大地测量、测距仪器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测距仪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62</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大地测量、测距仪器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水准仪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63</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大地测量、测距仪器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全站仪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64</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大地测量、测距仪器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裂缝宽度测试仪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65</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大地测量、测距仪器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线路巡检仪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66</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电能表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直流电能表</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67</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电能计量仪器仪表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电能表标准设备</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68</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电能计量仪器仪表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互感器标准设备</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69</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电能计量仪器仪表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电能表检测设备</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70</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电能计量仪器仪表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互感器标准设备</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71</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电气标准器及检测装置</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直流试验电源</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72</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电气仪器仪表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61850数字化分析仪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73</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电气仪器仪表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高压试验仿真仪器</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74</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电气仪器仪表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继电保护测试仪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75</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电气仪器仪表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馈线自动化测试仪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76</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电气仪器仪表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线路参数测量装置</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77</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电气仪器仪表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蓄电池内阻测试仪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78</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电气仪器仪表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移动巡检终端</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79</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电气仪器仪表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直流故障测试仪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80</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电气标准器及检测装置</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电测量标准源</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81</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电气标准器及检测装置</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红外测温仪检定装置</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82</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电气标准器及检测装置</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兆欧表标准校验装置</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83</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高压试验仪器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避雷器阻性电流检测仪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84</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高压试验仪器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变压器参数测试仪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85</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高压试验仪器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变压器绕组变形测试仪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86</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高压试验仪器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故障检测仪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87</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高压试验仪器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接地电阻表</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88</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高压试验仪器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油耐压测试仪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89</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化学、实验室仪器仪表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油介损测试仪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90</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化学、实验室仪器仪表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闪点仪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91</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高压试验仪器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直流高压发生器</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92</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高压试验仪器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电容电感测试仪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93</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高压试验仪器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高压断路器断口耐压试验装置</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94</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化学、实验室仪器仪表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SF6气体综合测试仪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95</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化学、实验室仪器仪表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变压器油含气量测试仪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96</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化学、实验室仪器仪表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盐密测试仪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97</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金属检测仪器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地下管线探测仪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98</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金属检测仪器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合金分析仪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99</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金属检测仪器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混凝土钢筋检测仪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100</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金属检测仪器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内窥镜</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jc w:val="cent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kern w:val="0"/>
                <w:sz w:val="18"/>
                <w:szCs w:val="18"/>
                <w:highlight w:val="none"/>
              </w:rPr>
              <w:t>101</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金属检测仪器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top"/>
              <w:rPr>
                <w:rFonts w:asciiTheme="minorEastAsia" w:hAnsiTheme="minorEastAsia" w:eastAsiaTheme="minorEastAsia" w:cstheme="minorEastAsia"/>
                <w:bCs/>
                <w:color w:val="auto"/>
                <w:kern w:val="0"/>
                <w:sz w:val="18"/>
                <w:szCs w:val="18"/>
                <w:highlight w:val="none"/>
              </w:rPr>
            </w:pPr>
            <w:r>
              <w:rPr>
                <w:rFonts w:hint="eastAsia" w:asciiTheme="minorEastAsia" w:hAnsiTheme="minorEastAsia" w:eastAsiaTheme="minorEastAsia" w:cstheme="minorEastAsia"/>
                <w:bCs/>
                <w:color w:val="auto"/>
                <w:kern w:val="0"/>
                <w:sz w:val="18"/>
                <w:szCs w:val="18"/>
                <w:highlight w:val="none"/>
              </w:rPr>
              <w:t>探伤仪</w:t>
            </w:r>
          </w:p>
        </w:tc>
        <w:tc>
          <w:tcPr>
            <w:tcW w:w="14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color w:val="auto"/>
                <w:kern w:val="0"/>
                <w:sz w:val="18"/>
                <w:szCs w:val="18"/>
                <w:highlight w:val="none"/>
              </w:rPr>
            </w:pPr>
          </w:p>
        </w:tc>
        <w:tc>
          <w:tcPr>
            <w:tcW w:w="17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具有ISO9000系列质量保证体系认证证书及年检记录</w:t>
            </w:r>
          </w:p>
        </w:tc>
        <w:tc>
          <w:tcPr>
            <w:tcW w:w="14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w:t>
            </w:r>
          </w:p>
        </w:tc>
        <w:tc>
          <w:tcPr>
            <w:tcW w:w="20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省级及以上权威检测机构的有效型式试验（鉴定）报告</w:t>
            </w:r>
          </w:p>
        </w:tc>
      </w:tr>
    </w:tbl>
    <w:p>
      <w:pPr>
        <w:numPr>
          <w:ilvl w:val="0"/>
          <w:numId w:val="1"/>
        </w:numPr>
        <w:rPr>
          <w:rFonts w:hint="eastAsia"/>
          <w:color w:val="auto"/>
          <w:highlight w:val="none"/>
          <w:lang w:val="en-US" w:eastAsia="zh-CN"/>
        </w:rPr>
      </w:pPr>
      <w:r>
        <w:rPr>
          <w:rFonts w:hint="eastAsia"/>
          <w:color w:val="auto"/>
          <w:highlight w:val="none"/>
        </w:rPr>
        <w:t>分标WZ-28</w:t>
      </w:r>
      <w:r>
        <w:rPr>
          <w:rFonts w:hint="eastAsia"/>
          <w:color w:val="auto"/>
          <w:highlight w:val="none"/>
          <w:lang w:val="en-US" w:eastAsia="zh-CN"/>
        </w:rPr>
        <w:t>2002</w:t>
      </w:r>
      <w:r>
        <w:rPr>
          <w:rFonts w:hint="eastAsia"/>
          <w:color w:val="auto"/>
          <w:highlight w:val="none"/>
        </w:rPr>
        <w:t>-05</w:t>
      </w:r>
      <w:r>
        <w:rPr>
          <w:rFonts w:hint="eastAsia"/>
          <w:color w:val="auto"/>
          <w:highlight w:val="none"/>
          <w:lang w:val="en-US" w:eastAsia="zh-CN"/>
        </w:rPr>
        <w:t>2</w:t>
      </w:r>
      <w:r>
        <w:rPr>
          <w:rFonts w:hint="eastAsia"/>
          <w:color w:val="auto"/>
          <w:highlight w:val="none"/>
        </w:rPr>
        <w:t>（包1）手持机(PDA)进行统一测试的相关说明： PMS2.0移动作业项目是国网公司统推项目，青海作为推广单位之一，20</w:t>
      </w:r>
      <w:r>
        <w:rPr>
          <w:rFonts w:hint="eastAsia"/>
          <w:color w:val="auto"/>
          <w:highlight w:val="none"/>
          <w:lang w:val="en-US" w:eastAsia="zh-CN"/>
        </w:rPr>
        <w:t>20</w:t>
      </w:r>
      <w:r>
        <w:rPr>
          <w:rFonts w:hint="eastAsia"/>
          <w:color w:val="auto"/>
          <w:highlight w:val="none"/>
        </w:rPr>
        <w:t>年将全面开展应用工作，为了通过国网公司移动作业安全接入平台以及GIS定位、RFID扫码等标准性能的测试，兹定于20</w:t>
      </w:r>
      <w:r>
        <w:rPr>
          <w:rFonts w:hint="eastAsia"/>
          <w:color w:val="auto"/>
          <w:highlight w:val="none"/>
          <w:lang w:val="en-US" w:eastAsia="zh-CN"/>
        </w:rPr>
        <w:t>20</w:t>
      </w:r>
      <w:r>
        <w:rPr>
          <w:rFonts w:hint="eastAsia"/>
          <w:color w:val="auto"/>
          <w:highlight w:val="none"/>
        </w:rPr>
        <w:t>年</w:t>
      </w:r>
      <w:r>
        <w:rPr>
          <w:rFonts w:hint="eastAsia"/>
          <w:color w:val="auto"/>
          <w:highlight w:val="none"/>
          <w:lang w:val="en-US" w:eastAsia="zh-CN"/>
        </w:rPr>
        <w:t>4</w:t>
      </w:r>
      <w:r>
        <w:rPr>
          <w:rFonts w:hint="eastAsia"/>
          <w:color w:val="auto"/>
          <w:highlight w:val="none"/>
        </w:rPr>
        <w:t>月1</w:t>
      </w:r>
      <w:r>
        <w:rPr>
          <w:rFonts w:hint="eastAsia"/>
          <w:color w:val="auto"/>
          <w:highlight w:val="none"/>
          <w:lang w:val="en-US" w:eastAsia="zh-CN"/>
        </w:rPr>
        <w:t>7</w:t>
      </w:r>
      <w:r>
        <w:rPr>
          <w:rFonts w:hint="eastAsia"/>
          <w:color w:val="auto"/>
          <w:highlight w:val="none"/>
        </w:rPr>
        <w:t>日进行统一的20</w:t>
      </w:r>
      <w:r>
        <w:rPr>
          <w:rFonts w:hint="eastAsia"/>
          <w:color w:val="auto"/>
          <w:highlight w:val="none"/>
          <w:lang w:val="en-US" w:eastAsia="zh-CN"/>
        </w:rPr>
        <w:t>20</w:t>
      </w:r>
      <w:r>
        <w:rPr>
          <w:rFonts w:hint="eastAsia"/>
          <w:color w:val="auto"/>
          <w:highlight w:val="none"/>
        </w:rPr>
        <w:t>年零购项目“PMS2.0移动作业手持终端”测试工作，请各投标单位提前做好相关准备（携带手持终端PDA及充电器、数据线等完整附件；测试品牌型号要与最终应标品牌型号一致），不参加本次测试及终端无法使用的厂商将视为弃标。</w:t>
      </w:r>
      <w:r>
        <w:rPr>
          <w:rFonts w:hint="eastAsia"/>
          <w:b/>
          <w:bCs/>
          <w:color w:val="auto"/>
          <w:highlight w:val="none"/>
        </w:rPr>
        <w:t>测试时间：20</w:t>
      </w:r>
      <w:r>
        <w:rPr>
          <w:rFonts w:hint="eastAsia"/>
          <w:b/>
          <w:bCs/>
          <w:color w:val="auto"/>
          <w:highlight w:val="none"/>
          <w:lang w:val="en-US" w:eastAsia="zh-CN"/>
        </w:rPr>
        <w:t>20</w:t>
      </w:r>
      <w:r>
        <w:rPr>
          <w:rFonts w:hint="eastAsia"/>
          <w:b/>
          <w:bCs/>
          <w:color w:val="auto"/>
          <w:highlight w:val="none"/>
        </w:rPr>
        <w:t>年</w:t>
      </w:r>
      <w:r>
        <w:rPr>
          <w:rFonts w:hint="eastAsia"/>
          <w:b/>
          <w:bCs/>
          <w:color w:val="auto"/>
          <w:highlight w:val="none"/>
          <w:lang w:val="en-US" w:eastAsia="zh-CN"/>
        </w:rPr>
        <w:t>4</w:t>
      </w:r>
      <w:r>
        <w:rPr>
          <w:rFonts w:hint="eastAsia"/>
          <w:b/>
          <w:bCs/>
          <w:color w:val="auto"/>
          <w:highlight w:val="none"/>
        </w:rPr>
        <w:t>月</w:t>
      </w:r>
      <w:r>
        <w:rPr>
          <w:rFonts w:hint="eastAsia"/>
          <w:b/>
          <w:bCs/>
          <w:color w:val="auto"/>
          <w:highlight w:val="none"/>
          <w:lang w:val="en-US" w:eastAsia="zh-CN"/>
        </w:rPr>
        <w:t>28</w:t>
      </w:r>
      <w:r>
        <w:rPr>
          <w:rFonts w:hint="eastAsia"/>
          <w:b/>
          <w:bCs/>
          <w:color w:val="auto"/>
          <w:highlight w:val="none"/>
        </w:rPr>
        <w:t xml:space="preserve">日9:00-18:00测试地点：西宁市城北区宁张公路187号西宁供电公司检修公司南楼4楼会议室  </w:t>
      </w:r>
      <w:r>
        <w:rPr>
          <w:rFonts w:hint="eastAsia"/>
          <w:color w:val="auto"/>
          <w:highlight w:val="none"/>
        </w:rPr>
        <w:t>联系人：省公司设备部 沈宁   0971-6078614  13897181213   西宁公司运检部 郭萍   0971-5195916  13897648118</w:t>
      </w:r>
      <w:r>
        <w:rPr>
          <w:rFonts w:hint="eastAsia"/>
          <w:color w:val="auto"/>
          <w:highlight w:val="none"/>
          <w:lang w:val="en-US" w:eastAsia="zh-CN"/>
        </w:rPr>
        <w:t>。</w:t>
      </w:r>
    </w:p>
    <w:p>
      <w:pPr>
        <w:numPr>
          <w:ilvl w:val="0"/>
          <w:numId w:val="1"/>
        </w:numPr>
        <w:rPr>
          <w:rFonts w:hint="eastAsia"/>
          <w:color w:val="auto"/>
          <w:highlight w:val="none"/>
          <w:lang w:val="en-US" w:eastAsia="zh-CN"/>
        </w:rPr>
      </w:pPr>
      <w:r>
        <w:rPr>
          <w:rFonts w:hint="eastAsia"/>
          <w:color w:val="auto"/>
          <w:highlight w:val="none"/>
          <w:lang w:val="en-US" w:eastAsia="zh-CN"/>
        </w:rPr>
        <w:t>分标WZ-282002-006（包1）国网青海检修公司330kV月石Ⅱ线智慧输电线路建设生产管理系统及线路在线监测装置等资质要求：</w:t>
      </w:r>
    </w:p>
    <w:p>
      <w:pPr>
        <w:pStyle w:val="2"/>
        <w:spacing w:after="0" w:line="360" w:lineRule="auto"/>
        <w:ind w:firstLine="0" w:firstLineChars="0"/>
        <w:jc w:val="left"/>
        <w:rPr>
          <w:rFonts w:ascii="宋体" w:hAnsi="宋体" w:cs="宋体"/>
          <w:color w:val="auto"/>
          <w:sz w:val="24"/>
          <w:szCs w:val="24"/>
          <w:highlight w:val="none"/>
        </w:rPr>
      </w:pPr>
      <w:r>
        <w:rPr>
          <w:rFonts w:hint="eastAsia" w:ascii="宋体" w:hAnsi="宋体" w:cs="宋体"/>
          <w:b/>
          <w:color w:val="auto"/>
          <w:sz w:val="24"/>
          <w:szCs w:val="24"/>
          <w:highlight w:val="none"/>
        </w:rPr>
        <w:t>1、生产管理系统</w:t>
      </w:r>
      <w:r>
        <w:rPr>
          <w:rFonts w:hint="eastAsia" w:ascii="宋体" w:hAnsi="宋体" w:cs="宋体"/>
          <w:b/>
          <w:bCs/>
          <w:color w:val="auto"/>
          <w:sz w:val="24"/>
          <w:szCs w:val="24"/>
          <w:highlight w:val="none"/>
        </w:rPr>
        <w:t>（ID：</w:t>
      </w:r>
      <w:r>
        <w:rPr>
          <w:rFonts w:ascii="宋体" w:hAnsi="宋体" w:cs="宋体"/>
          <w:b/>
          <w:bCs/>
          <w:color w:val="auto"/>
          <w:sz w:val="24"/>
          <w:szCs w:val="24"/>
          <w:highlight w:val="none"/>
        </w:rPr>
        <w:t xml:space="preserve">2810-500064407-00002 </w:t>
      </w:r>
      <w:r>
        <w:rPr>
          <w:rFonts w:hint="eastAsia" w:ascii="宋体" w:hAnsi="宋体" w:cs="宋体"/>
          <w:b/>
          <w:bCs/>
          <w:color w:val="auto"/>
          <w:sz w:val="24"/>
          <w:szCs w:val="24"/>
          <w:highlight w:val="none"/>
        </w:rPr>
        <w:t>）</w:t>
      </w:r>
    </w:p>
    <w:p>
      <w:pPr>
        <w:keepNext w:val="0"/>
        <w:keepLines w:val="0"/>
        <w:pageBreakBefore w:val="0"/>
        <w:widowControl w:val="0"/>
        <w:kinsoku/>
        <w:wordWrap/>
        <w:overflowPunct/>
        <w:topLinePunct w:val="0"/>
        <w:bidi w:val="0"/>
        <w:snapToGrid/>
        <w:spacing w:line="276" w:lineRule="auto"/>
        <w:textAlignment w:val="auto"/>
        <w:rPr>
          <w:rFonts w:eastAsiaTheme="minorEastAsia"/>
          <w:color w:val="auto"/>
          <w:sz w:val="21"/>
          <w:szCs w:val="21"/>
          <w:highlight w:val="none"/>
        </w:rPr>
      </w:pPr>
      <w:r>
        <w:rPr>
          <w:rFonts w:eastAsiaTheme="minorEastAsia"/>
          <w:color w:val="auto"/>
          <w:sz w:val="21"/>
          <w:szCs w:val="21"/>
          <w:highlight w:val="none"/>
        </w:rPr>
        <w:t>（</w:t>
      </w:r>
      <w:r>
        <w:rPr>
          <w:rFonts w:hint="eastAsia" w:eastAsiaTheme="minorEastAsia"/>
          <w:color w:val="auto"/>
          <w:sz w:val="21"/>
          <w:szCs w:val="21"/>
          <w:highlight w:val="none"/>
          <w:lang w:val="en-US" w:eastAsia="zh-CN"/>
        </w:rPr>
        <w:t>1</w:t>
      </w:r>
      <w:r>
        <w:rPr>
          <w:rFonts w:eastAsiaTheme="minorEastAsia"/>
          <w:color w:val="auto"/>
          <w:sz w:val="21"/>
          <w:szCs w:val="21"/>
          <w:highlight w:val="none"/>
        </w:rPr>
        <w:t>）注册资金不少于1000万。</w:t>
      </w:r>
    </w:p>
    <w:p>
      <w:pPr>
        <w:keepNext w:val="0"/>
        <w:keepLines w:val="0"/>
        <w:pageBreakBefore w:val="0"/>
        <w:widowControl w:val="0"/>
        <w:kinsoku/>
        <w:wordWrap/>
        <w:overflowPunct/>
        <w:topLinePunct w:val="0"/>
        <w:bidi w:val="0"/>
        <w:snapToGrid/>
        <w:spacing w:line="276" w:lineRule="auto"/>
        <w:textAlignment w:val="auto"/>
        <w:rPr>
          <w:rFonts w:eastAsiaTheme="minorEastAsia"/>
          <w:color w:val="auto"/>
          <w:sz w:val="21"/>
          <w:szCs w:val="21"/>
          <w:highlight w:val="none"/>
        </w:rPr>
      </w:pPr>
      <w:r>
        <w:rPr>
          <w:rFonts w:eastAsiaTheme="minorEastAsia"/>
          <w:color w:val="auto"/>
          <w:sz w:val="21"/>
          <w:szCs w:val="21"/>
          <w:highlight w:val="none"/>
        </w:rPr>
        <w:t>（</w:t>
      </w:r>
      <w:r>
        <w:rPr>
          <w:rFonts w:hint="eastAsia" w:eastAsiaTheme="minorEastAsia"/>
          <w:color w:val="auto"/>
          <w:sz w:val="21"/>
          <w:szCs w:val="21"/>
          <w:highlight w:val="none"/>
          <w:lang w:val="en-US" w:eastAsia="zh-CN"/>
        </w:rPr>
        <w:t>2</w:t>
      </w:r>
      <w:r>
        <w:rPr>
          <w:rFonts w:eastAsiaTheme="minorEastAsia"/>
          <w:color w:val="auto"/>
          <w:sz w:val="21"/>
          <w:szCs w:val="21"/>
          <w:highlight w:val="none"/>
        </w:rPr>
        <w:t>）</w:t>
      </w:r>
      <w:r>
        <w:rPr>
          <w:rFonts w:hint="eastAsia" w:eastAsiaTheme="minorEastAsia"/>
          <w:color w:val="auto"/>
          <w:sz w:val="21"/>
          <w:szCs w:val="21"/>
          <w:highlight w:val="none"/>
          <w:lang w:eastAsia="zh-CN"/>
        </w:rPr>
        <w:t>投标单位</w:t>
      </w:r>
      <w:r>
        <w:rPr>
          <w:rFonts w:eastAsiaTheme="minorEastAsia"/>
          <w:color w:val="auto"/>
          <w:sz w:val="21"/>
          <w:szCs w:val="21"/>
          <w:highlight w:val="none"/>
        </w:rPr>
        <w:t>应建立了完善的质量保证体系，并出具ISO9000系列或等同质量体系的证书，认证范围应明确包括招标物资。</w:t>
      </w:r>
    </w:p>
    <w:p>
      <w:pPr>
        <w:keepNext w:val="0"/>
        <w:keepLines w:val="0"/>
        <w:pageBreakBefore w:val="0"/>
        <w:widowControl w:val="0"/>
        <w:kinsoku/>
        <w:wordWrap/>
        <w:overflowPunct/>
        <w:topLinePunct w:val="0"/>
        <w:bidi w:val="0"/>
        <w:snapToGrid/>
        <w:spacing w:line="276" w:lineRule="auto"/>
        <w:textAlignment w:val="auto"/>
        <w:rPr>
          <w:rFonts w:eastAsiaTheme="minorEastAsia"/>
          <w:color w:val="auto"/>
          <w:sz w:val="21"/>
          <w:szCs w:val="21"/>
          <w:highlight w:val="none"/>
        </w:rPr>
      </w:pPr>
      <w:r>
        <w:rPr>
          <w:rFonts w:eastAsiaTheme="minorEastAsia"/>
          <w:color w:val="auto"/>
          <w:sz w:val="21"/>
          <w:szCs w:val="21"/>
          <w:highlight w:val="none"/>
        </w:rPr>
        <w:t>（</w:t>
      </w:r>
      <w:r>
        <w:rPr>
          <w:rFonts w:hint="eastAsia" w:eastAsiaTheme="minorEastAsia"/>
          <w:color w:val="auto"/>
          <w:sz w:val="21"/>
          <w:szCs w:val="21"/>
          <w:highlight w:val="none"/>
          <w:lang w:val="en-US" w:eastAsia="zh-CN"/>
        </w:rPr>
        <w:t>3</w:t>
      </w:r>
      <w:r>
        <w:rPr>
          <w:rFonts w:eastAsiaTheme="minorEastAsia"/>
          <w:color w:val="auto"/>
          <w:sz w:val="21"/>
          <w:szCs w:val="21"/>
          <w:highlight w:val="none"/>
        </w:rPr>
        <w:t>）</w:t>
      </w:r>
      <w:r>
        <w:rPr>
          <w:rFonts w:hint="eastAsia" w:eastAsiaTheme="minorEastAsia"/>
          <w:color w:val="auto"/>
          <w:sz w:val="21"/>
          <w:szCs w:val="21"/>
          <w:highlight w:val="none"/>
          <w:lang w:eastAsia="zh-CN"/>
        </w:rPr>
        <w:t>投标单位</w:t>
      </w:r>
      <w:r>
        <w:rPr>
          <w:rFonts w:eastAsiaTheme="minorEastAsia"/>
          <w:color w:val="auto"/>
          <w:sz w:val="21"/>
          <w:szCs w:val="21"/>
          <w:highlight w:val="none"/>
        </w:rPr>
        <w:t>应提供近三年来在输变电物联网相关的项目设计开发、实施或物资供货业绩</w:t>
      </w:r>
      <w:r>
        <w:rPr>
          <w:rFonts w:hint="eastAsia" w:eastAsiaTheme="minorEastAsia"/>
          <w:color w:val="auto"/>
          <w:sz w:val="21"/>
          <w:szCs w:val="21"/>
          <w:highlight w:val="none"/>
          <w:lang w:val="en-US" w:eastAsia="zh-CN"/>
        </w:rPr>
        <w:t>,</w:t>
      </w:r>
      <w:r>
        <w:rPr>
          <w:rFonts w:eastAsiaTheme="minorEastAsia"/>
          <w:color w:val="auto"/>
          <w:sz w:val="21"/>
          <w:szCs w:val="21"/>
          <w:highlight w:val="none"/>
        </w:rPr>
        <w:t>承接过大型信息化项目的技术开发。</w:t>
      </w:r>
    </w:p>
    <w:p>
      <w:pPr>
        <w:keepNext w:val="0"/>
        <w:keepLines w:val="0"/>
        <w:pageBreakBefore w:val="0"/>
        <w:widowControl w:val="0"/>
        <w:kinsoku/>
        <w:wordWrap/>
        <w:overflowPunct/>
        <w:topLinePunct w:val="0"/>
        <w:bidi w:val="0"/>
        <w:snapToGrid/>
        <w:spacing w:line="276" w:lineRule="auto"/>
        <w:textAlignment w:val="auto"/>
        <w:rPr>
          <w:rFonts w:eastAsiaTheme="minorEastAsia"/>
          <w:color w:val="auto"/>
          <w:sz w:val="21"/>
          <w:szCs w:val="21"/>
          <w:highlight w:val="none"/>
        </w:rPr>
      </w:pPr>
      <w:r>
        <w:rPr>
          <w:rFonts w:eastAsiaTheme="minorEastAsia"/>
          <w:color w:val="auto"/>
          <w:sz w:val="21"/>
          <w:szCs w:val="21"/>
          <w:highlight w:val="none"/>
        </w:rPr>
        <w:t>（</w:t>
      </w:r>
      <w:r>
        <w:rPr>
          <w:rFonts w:hint="eastAsia" w:eastAsiaTheme="minorEastAsia"/>
          <w:color w:val="auto"/>
          <w:sz w:val="21"/>
          <w:szCs w:val="21"/>
          <w:highlight w:val="none"/>
          <w:lang w:val="en-US" w:eastAsia="zh-CN"/>
        </w:rPr>
        <w:t>4</w:t>
      </w:r>
      <w:r>
        <w:rPr>
          <w:rFonts w:eastAsiaTheme="minorEastAsia"/>
          <w:color w:val="auto"/>
          <w:sz w:val="21"/>
          <w:szCs w:val="21"/>
          <w:highlight w:val="none"/>
        </w:rPr>
        <w:t>）</w:t>
      </w:r>
      <w:r>
        <w:rPr>
          <w:rFonts w:hint="eastAsia" w:eastAsiaTheme="minorEastAsia"/>
          <w:color w:val="auto"/>
          <w:sz w:val="21"/>
          <w:szCs w:val="21"/>
          <w:highlight w:val="none"/>
          <w:lang w:eastAsia="zh-CN"/>
        </w:rPr>
        <w:t>投标单位</w:t>
      </w:r>
      <w:r>
        <w:rPr>
          <w:rFonts w:eastAsiaTheme="minorEastAsia"/>
          <w:color w:val="auto"/>
          <w:sz w:val="21"/>
          <w:szCs w:val="21"/>
          <w:highlight w:val="none"/>
        </w:rPr>
        <w:t>应提供CMMI三级或以上资质证书。</w:t>
      </w:r>
    </w:p>
    <w:p>
      <w:pPr>
        <w:keepNext w:val="0"/>
        <w:keepLines w:val="0"/>
        <w:pageBreakBefore w:val="0"/>
        <w:widowControl w:val="0"/>
        <w:kinsoku/>
        <w:wordWrap/>
        <w:overflowPunct/>
        <w:topLinePunct w:val="0"/>
        <w:bidi w:val="0"/>
        <w:snapToGrid/>
        <w:spacing w:line="276" w:lineRule="auto"/>
        <w:textAlignment w:val="auto"/>
        <w:rPr>
          <w:rFonts w:eastAsiaTheme="minorEastAsia"/>
          <w:color w:val="auto"/>
          <w:sz w:val="21"/>
          <w:szCs w:val="21"/>
          <w:highlight w:val="none"/>
        </w:rPr>
      </w:pPr>
      <w:r>
        <w:rPr>
          <w:rFonts w:eastAsiaTheme="minorEastAsia"/>
          <w:color w:val="auto"/>
          <w:sz w:val="21"/>
          <w:szCs w:val="21"/>
          <w:highlight w:val="none"/>
        </w:rPr>
        <w:t>（</w:t>
      </w:r>
      <w:r>
        <w:rPr>
          <w:rFonts w:hint="eastAsia" w:eastAsiaTheme="minorEastAsia"/>
          <w:color w:val="auto"/>
          <w:sz w:val="21"/>
          <w:szCs w:val="21"/>
          <w:highlight w:val="none"/>
          <w:lang w:val="en-US" w:eastAsia="zh-CN"/>
        </w:rPr>
        <w:t>5</w:t>
      </w:r>
      <w:r>
        <w:rPr>
          <w:rFonts w:eastAsiaTheme="minorEastAsia"/>
          <w:color w:val="auto"/>
          <w:sz w:val="21"/>
          <w:szCs w:val="21"/>
          <w:highlight w:val="none"/>
        </w:rPr>
        <w:t>）LED展示大屏采用的视频处理拼接器必须通过3C认证、ROHS认证、CE-EMC认证、CE-LVD认证，</w:t>
      </w:r>
      <w:r>
        <w:rPr>
          <w:rFonts w:hint="eastAsia" w:eastAsiaTheme="minorEastAsia"/>
          <w:color w:val="auto"/>
          <w:sz w:val="21"/>
          <w:szCs w:val="21"/>
          <w:highlight w:val="none"/>
        </w:rPr>
        <w:t>由</w:t>
      </w:r>
      <w:r>
        <w:rPr>
          <w:rFonts w:hint="eastAsia" w:eastAsiaTheme="minorEastAsia"/>
          <w:color w:val="auto"/>
          <w:sz w:val="21"/>
          <w:szCs w:val="21"/>
          <w:highlight w:val="none"/>
          <w:lang w:eastAsia="zh-CN"/>
        </w:rPr>
        <w:t>投标单位</w:t>
      </w:r>
      <w:r>
        <w:rPr>
          <w:rFonts w:eastAsiaTheme="minorEastAsia"/>
          <w:color w:val="auto"/>
          <w:sz w:val="21"/>
          <w:szCs w:val="21"/>
          <w:highlight w:val="none"/>
        </w:rPr>
        <w:t>提供证明文件；且提供拼接处理器控制系统操作软件产品登记证书。</w:t>
      </w:r>
    </w:p>
    <w:p>
      <w:pPr>
        <w:pStyle w:val="274"/>
        <w:keepNext w:val="0"/>
        <w:keepLines w:val="0"/>
        <w:pageBreakBefore w:val="0"/>
        <w:widowControl w:val="0"/>
        <w:kinsoku/>
        <w:wordWrap/>
        <w:overflowPunct/>
        <w:topLinePunct w:val="0"/>
        <w:bidi w:val="0"/>
        <w:snapToGrid/>
        <w:spacing w:line="276" w:lineRule="auto"/>
        <w:ind w:firstLine="420" w:firstLineChars="200"/>
        <w:textAlignment w:val="auto"/>
        <w:rPr>
          <w:rFonts w:hint="default" w:ascii="Times New Roman" w:hAnsi="Times New Roman" w:eastAsiaTheme="minorEastAsia"/>
          <w:color w:val="auto"/>
          <w:kern w:val="2"/>
          <w:sz w:val="21"/>
          <w:szCs w:val="21"/>
          <w:highlight w:val="none"/>
        </w:rPr>
      </w:pPr>
      <w:r>
        <w:rPr>
          <w:rFonts w:hint="default" w:ascii="Times New Roman" w:hAnsi="Times New Roman" w:eastAsiaTheme="minorEastAsia"/>
          <w:color w:val="auto"/>
          <w:kern w:val="2"/>
          <w:sz w:val="21"/>
          <w:szCs w:val="21"/>
          <w:highlight w:val="none"/>
        </w:rPr>
        <w:t>（</w:t>
      </w:r>
      <w:r>
        <w:rPr>
          <w:rFonts w:hint="eastAsia" w:ascii="Times New Roman" w:hAnsi="Times New Roman" w:eastAsiaTheme="minorEastAsia"/>
          <w:color w:val="auto"/>
          <w:kern w:val="2"/>
          <w:sz w:val="21"/>
          <w:szCs w:val="21"/>
          <w:highlight w:val="none"/>
          <w:lang w:val="en-US" w:eastAsia="zh-CN"/>
        </w:rPr>
        <w:t>6</w:t>
      </w:r>
      <w:r>
        <w:rPr>
          <w:rFonts w:hint="default" w:ascii="Times New Roman" w:hAnsi="Times New Roman" w:eastAsiaTheme="minorEastAsia"/>
          <w:color w:val="auto"/>
          <w:kern w:val="2"/>
          <w:sz w:val="21"/>
          <w:szCs w:val="21"/>
          <w:highlight w:val="none"/>
        </w:rPr>
        <w:t>）为了LED展示大屏安装的安全，</w:t>
      </w:r>
      <w:r>
        <w:rPr>
          <w:rFonts w:hint="eastAsia" w:eastAsiaTheme="minorEastAsia"/>
          <w:color w:val="auto"/>
          <w:sz w:val="21"/>
          <w:szCs w:val="21"/>
          <w:highlight w:val="none"/>
          <w:lang w:eastAsia="zh-CN"/>
        </w:rPr>
        <w:t>投标单位</w:t>
      </w:r>
      <w:r>
        <w:rPr>
          <w:rFonts w:hint="default" w:ascii="Times New Roman" w:hAnsi="Times New Roman" w:eastAsiaTheme="minorEastAsia"/>
          <w:color w:val="auto"/>
          <w:kern w:val="2"/>
          <w:sz w:val="21"/>
          <w:szCs w:val="21"/>
          <w:highlight w:val="none"/>
        </w:rPr>
        <w:t>需提供安全生产许可证、钢结构承包资质、电子与智能化工程专业承包资质（需提供证明文件）。</w:t>
      </w:r>
    </w:p>
    <w:p>
      <w:pPr>
        <w:pStyle w:val="274"/>
        <w:spacing w:line="360" w:lineRule="auto"/>
        <w:rPr>
          <w:rFonts w:hint="default" w:cs="宋体"/>
          <w:b/>
          <w:color w:val="auto"/>
          <w:kern w:val="2"/>
          <w:szCs w:val="24"/>
          <w:highlight w:val="none"/>
        </w:rPr>
      </w:pPr>
      <w:r>
        <w:rPr>
          <w:rFonts w:cs="宋体"/>
          <w:b/>
          <w:color w:val="auto"/>
          <w:kern w:val="2"/>
          <w:szCs w:val="24"/>
          <w:highlight w:val="none"/>
        </w:rPr>
        <w:t>2、分布式故障诊断监测装置（</w:t>
      </w:r>
      <w:r>
        <w:rPr>
          <w:rFonts w:cs="宋体"/>
          <w:b/>
          <w:bCs/>
          <w:color w:val="auto"/>
          <w:szCs w:val="24"/>
          <w:highlight w:val="none"/>
        </w:rPr>
        <w:t>ID：</w:t>
      </w:r>
      <w:r>
        <w:rPr>
          <w:rFonts w:cs="宋体"/>
          <w:b/>
          <w:color w:val="auto"/>
          <w:kern w:val="2"/>
          <w:szCs w:val="24"/>
          <w:highlight w:val="none"/>
        </w:rPr>
        <w:t>2810-500133120-00004）</w:t>
      </w:r>
    </w:p>
    <w:p>
      <w:pPr>
        <w:keepNext w:val="0"/>
        <w:keepLines w:val="0"/>
        <w:pageBreakBefore w:val="0"/>
        <w:widowControl w:val="0"/>
        <w:kinsoku/>
        <w:wordWrap/>
        <w:overflowPunct/>
        <w:topLinePunct w:val="0"/>
        <w:bidi w:val="0"/>
        <w:snapToGrid/>
        <w:spacing w:line="276" w:lineRule="auto"/>
        <w:textAlignment w:val="auto"/>
        <w:rPr>
          <w:rFonts w:eastAsiaTheme="minorEastAsia"/>
          <w:color w:val="auto"/>
          <w:szCs w:val="22"/>
          <w:highlight w:val="none"/>
        </w:rPr>
      </w:pPr>
      <w:r>
        <w:rPr>
          <w:rFonts w:eastAsiaTheme="minorEastAsia"/>
          <w:color w:val="auto"/>
          <w:szCs w:val="22"/>
          <w:highlight w:val="none"/>
        </w:rPr>
        <w:t>（1）</w:t>
      </w:r>
      <w:r>
        <w:rPr>
          <w:rFonts w:hint="eastAsia" w:eastAsiaTheme="minorEastAsia"/>
          <w:color w:val="auto"/>
          <w:szCs w:val="22"/>
          <w:highlight w:val="none"/>
          <w:lang w:eastAsia="zh-CN"/>
        </w:rPr>
        <w:t>投标单位需</w:t>
      </w:r>
      <w:r>
        <w:rPr>
          <w:rFonts w:eastAsiaTheme="minorEastAsia"/>
          <w:color w:val="auto"/>
          <w:szCs w:val="22"/>
          <w:highlight w:val="none"/>
        </w:rPr>
        <w:t>在技术投标文件中提供</w:t>
      </w:r>
      <w:r>
        <w:rPr>
          <w:rFonts w:hint="eastAsia" w:eastAsiaTheme="minorEastAsia"/>
          <w:color w:val="auto"/>
          <w:szCs w:val="22"/>
          <w:highlight w:val="none"/>
          <w:lang w:eastAsia="zh-CN"/>
        </w:rPr>
        <w:t>具有检测资质的第三方检测机构</w:t>
      </w:r>
      <w:r>
        <w:rPr>
          <w:rFonts w:eastAsiaTheme="minorEastAsia"/>
          <w:color w:val="auto"/>
          <w:szCs w:val="22"/>
          <w:highlight w:val="none"/>
        </w:rPr>
        <w:t>出具的有效期内型式试验报告，报告至少应包括故障电流测量试验、冲击电流测量试验、感应电源供电试验等，附报告真伪查询方式，以备核查；</w:t>
      </w:r>
    </w:p>
    <w:p>
      <w:pPr>
        <w:keepNext w:val="0"/>
        <w:keepLines w:val="0"/>
        <w:pageBreakBefore w:val="0"/>
        <w:widowControl w:val="0"/>
        <w:kinsoku/>
        <w:wordWrap/>
        <w:overflowPunct/>
        <w:topLinePunct w:val="0"/>
        <w:bidi w:val="0"/>
        <w:snapToGrid/>
        <w:spacing w:line="276" w:lineRule="auto"/>
        <w:textAlignment w:val="auto"/>
        <w:rPr>
          <w:rFonts w:eastAsiaTheme="minorEastAsia"/>
          <w:color w:val="auto"/>
          <w:szCs w:val="22"/>
          <w:highlight w:val="none"/>
        </w:rPr>
      </w:pPr>
      <w:r>
        <w:rPr>
          <w:rFonts w:eastAsiaTheme="minorEastAsia"/>
          <w:color w:val="auto"/>
          <w:szCs w:val="22"/>
          <w:highlight w:val="none"/>
        </w:rPr>
        <w:t>（2）</w:t>
      </w:r>
      <w:r>
        <w:rPr>
          <w:rFonts w:hint="eastAsia" w:eastAsiaTheme="minorEastAsia"/>
          <w:color w:val="auto"/>
          <w:szCs w:val="22"/>
          <w:highlight w:val="none"/>
          <w:lang w:eastAsia="zh-CN"/>
        </w:rPr>
        <w:t>投标单位</w:t>
      </w:r>
      <w:r>
        <w:rPr>
          <w:rFonts w:eastAsiaTheme="minorEastAsia"/>
          <w:color w:val="auto"/>
          <w:szCs w:val="22"/>
          <w:highlight w:val="none"/>
        </w:rPr>
        <w:t>需在技术投标文件中提供输电线路故障监测装置数据规约测试报告。</w:t>
      </w:r>
    </w:p>
    <w:p>
      <w:pPr>
        <w:keepNext w:val="0"/>
        <w:keepLines w:val="0"/>
        <w:pageBreakBefore w:val="0"/>
        <w:widowControl w:val="0"/>
        <w:kinsoku/>
        <w:wordWrap/>
        <w:overflowPunct/>
        <w:topLinePunct w:val="0"/>
        <w:bidi w:val="0"/>
        <w:snapToGrid/>
        <w:spacing w:line="276" w:lineRule="auto"/>
        <w:textAlignment w:val="auto"/>
        <w:rPr>
          <w:rFonts w:eastAsiaTheme="minorEastAsia"/>
          <w:color w:val="auto"/>
          <w:szCs w:val="22"/>
          <w:highlight w:val="none"/>
        </w:rPr>
      </w:pPr>
      <w:r>
        <w:rPr>
          <w:rFonts w:eastAsiaTheme="minorEastAsia"/>
          <w:color w:val="auto"/>
          <w:szCs w:val="22"/>
          <w:highlight w:val="none"/>
        </w:rPr>
        <w:t>（3）</w:t>
      </w:r>
      <w:r>
        <w:rPr>
          <w:rFonts w:hint="eastAsia" w:eastAsiaTheme="minorEastAsia"/>
          <w:color w:val="auto"/>
          <w:szCs w:val="22"/>
          <w:highlight w:val="none"/>
          <w:lang w:eastAsia="zh-CN"/>
        </w:rPr>
        <w:t>投标单位</w:t>
      </w:r>
      <w:r>
        <w:rPr>
          <w:rFonts w:eastAsiaTheme="minorEastAsia"/>
          <w:color w:val="auto"/>
          <w:szCs w:val="22"/>
          <w:highlight w:val="none"/>
        </w:rPr>
        <w:t>需在技术投标文件中需提供3次以上经巡线结果验证的交流输电线路故障诊断情况说明（至少包括保护动作时间、线路名称、装置记录波形，诊断分析过程说明、证明人及联系电话等，以备核查），并提供输电线路不同类型故障波形图谱（绕击、反击、山火、植被等）；</w:t>
      </w:r>
    </w:p>
    <w:p>
      <w:pPr>
        <w:keepNext w:val="0"/>
        <w:keepLines w:val="0"/>
        <w:pageBreakBefore w:val="0"/>
        <w:widowControl w:val="0"/>
        <w:kinsoku/>
        <w:wordWrap/>
        <w:overflowPunct/>
        <w:topLinePunct w:val="0"/>
        <w:bidi w:val="0"/>
        <w:snapToGrid/>
        <w:spacing w:line="276" w:lineRule="auto"/>
        <w:textAlignment w:val="auto"/>
        <w:rPr>
          <w:rFonts w:eastAsiaTheme="minorEastAsia"/>
          <w:color w:val="auto"/>
          <w:szCs w:val="22"/>
          <w:highlight w:val="none"/>
        </w:rPr>
      </w:pPr>
      <w:r>
        <w:rPr>
          <w:rFonts w:eastAsiaTheme="minorEastAsia"/>
          <w:color w:val="auto"/>
          <w:szCs w:val="22"/>
          <w:highlight w:val="none"/>
        </w:rPr>
        <w:t>（4）</w:t>
      </w:r>
      <w:r>
        <w:rPr>
          <w:rFonts w:hint="eastAsia" w:eastAsiaTheme="minorEastAsia"/>
          <w:color w:val="auto"/>
          <w:szCs w:val="22"/>
          <w:highlight w:val="none"/>
          <w:lang w:eastAsia="zh-CN"/>
        </w:rPr>
        <w:t>投标单位</w:t>
      </w:r>
      <w:r>
        <w:rPr>
          <w:rFonts w:eastAsiaTheme="minorEastAsia"/>
          <w:color w:val="auto"/>
          <w:szCs w:val="22"/>
          <w:highlight w:val="none"/>
        </w:rPr>
        <w:t>需在技术投标文件中提供至少10条交流输电线路同种装置运行情况说明，包括挂网情况(安装位置精确到杆塔号、安装图片、投运时间、证明人及联系电话等，以备核查)，并提供相应证明材料；</w:t>
      </w:r>
    </w:p>
    <w:p>
      <w:pPr>
        <w:numPr>
          <w:ilvl w:val="0"/>
          <w:numId w:val="0"/>
        </w:numPr>
        <w:rPr>
          <w:rFonts w:hint="default" w:ascii="Times New Roman" w:hAnsi="Times New Roman" w:eastAsiaTheme="minorEastAsia"/>
          <w:color w:val="auto"/>
          <w:kern w:val="2"/>
          <w:sz w:val="21"/>
          <w:szCs w:val="22"/>
          <w:highlight w:val="none"/>
        </w:rPr>
      </w:pPr>
      <w:r>
        <w:rPr>
          <w:rFonts w:hint="default" w:ascii="Times New Roman" w:hAnsi="Times New Roman" w:eastAsiaTheme="minorEastAsia"/>
          <w:color w:val="auto"/>
          <w:kern w:val="2"/>
          <w:sz w:val="21"/>
          <w:szCs w:val="22"/>
          <w:highlight w:val="none"/>
        </w:rPr>
        <w:t>（5）</w:t>
      </w:r>
      <w:r>
        <w:rPr>
          <w:rFonts w:ascii="Times New Roman" w:hAnsi="Times New Roman" w:eastAsiaTheme="minorEastAsia"/>
          <w:color w:val="auto"/>
          <w:kern w:val="2"/>
          <w:sz w:val="21"/>
          <w:szCs w:val="22"/>
          <w:highlight w:val="none"/>
        </w:rPr>
        <w:t>原厂家</w:t>
      </w:r>
      <w:r>
        <w:rPr>
          <w:rFonts w:hint="default" w:ascii="Times New Roman" w:hAnsi="Times New Roman" w:eastAsiaTheme="minorEastAsia"/>
          <w:color w:val="auto"/>
          <w:kern w:val="2"/>
          <w:sz w:val="21"/>
          <w:szCs w:val="22"/>
          <w:highlight w:val="none"/>
        </w:rPr>
        <w:t>需在技术投标文件中提供可供查询的2个以上省级电网雷电定位系统接入案例说明及接入报告。</w:t>
      </w:r>
    </w:p>
    <w:p>
      <w:pPr>
        <w:pStyle w:val="2"/>
        <w:rPr>
          <w:rFonts w:hint="default" w:eastAsiaTheme="minorEastAsia"/>
          <w:color w:val="auto"/>
          <w:highlight w:val="none"/>
          <w:lang w:val="en-US" w:eastAsia="zh-CN"/>
        </w:rPr>
      </w:pPr>
      <w:r>
        <w:rPr>
          <w:rFonts w:hint="eastAsia" w:eastAsiaTheme="minorEastAsia"/>
          <w:color w:val="auto"/>
          <w:kern w:val="2"/>
          <w:sz w:val="21"/>
          <w:szCs w:val="22"/>
          <w:highlight w:val="none"/>
          <w:lang w:val="en-US" w:eastAsia="zh-CN"/>
        </w:rPr>
        <w:t>104、</w:t>
      </w:r>
      <w:r>
        <w:rPr>
          <w:rFonts w:hint="eastAsia"/>
          <w:color w:val="auto"/>
          <w:highlight w:val="none"/>
        </w:rPr>
        <w:t>分标WZ-28</w:t>
      </w:r>
      <w:r>
        <w:rPr>
          <w:rFonts w:hint="eastAsia"/>
          <w:color w:val="auto"/>
          <w:highlight w:val="none"/>
          <w:lang w:val="en-US" w:eastAsia="zh-CN"/>
        </w:rPr>
        <w:t>2002</w:t>
      </w:r>
      <w:r>
        <w:rPr>
          <w:rFonts w:hint="eastAsia"/>
          <w:color w:val="auto"/>
          <w:highlight w:val="none"/>
        </w:rPr>
        <w:t>-0</w:t>
      </w:r>
      <w:r>
        <w:rPr>
          <w:rFonts w:hint="eastAsia"/>
          <w:color w:val="auto"/>
          <w:highlight w:val="none"/>
          <w:lang w:val="en-US" w:eastAsia="zh-CN"/>
        </w:rPr>
        <w:t>87、</w:t>
      </w:r>
      <w:r>
        <w:rPr>
          <w:rFonts w:hint="eastAsia"/>
          <w:color w:val="auto"/>
          <w:highlight w:val="none"/>
        </w:rPr>
        <w:t>WZ-28</w:t>
      </w:r>
      <w:r>
        <w:rPr>
          <w:rFonts w:hint="eastAsia"/>
          <w:color w:val="auto"/>
          <w:highlight w:val="none"/>
          <w:lang w:val="en-US" w:eastAsia="zh-CN"/>
        </w:rPr>
        <w:t>2002</w:t>
      </w:r>
      <w:r>
        <w:rPr>
          <w:rFonts w:hint="eastAsia"/>
          <w:color w:val="auto"/>
          <w:highlight w:val="none"/>
        </w:rPr>
        <w:t>-0</w:t>
      </w:r>
      <w:r>
        <w:rPr>
          <w:rFonts w:hint="eastAsia"/>
          <w:color w:val="auto"/>
          <w:highlight w:val="none"/>
          <w:lang w:val="en-US" w:eastAsia="zh-CN"/>
        </w:rPr>
        <w:t>88、</w:t>
      </w:r>
      <w:r>
        <w:rPr>
          <w:rFonts w:hint="eastAsia"/>
          <w:color w:val="auto"/>
          <w:highlight w:val="none"/>
        </w:rPr>
        <w:t>WZ-28</w:t>
      </w:r>
      <w:r>
        <w:rPr>
          <w:rFonts w:hint="eastAsia"/>
          <w:color w:val="auto"/>
          <w:highlight w:val="none"/>
          <w:lang w:val="en-US" w:eastAsia="zh-CN"/>
        </w:rPr>
        <w:t>2002</w:t>
      </w:r>
      <w:r>
        <w:rPr>
          <w:rFonts w:hint="eastAsia"/>
          <w:color w:val="auto"/>
          <w:highlight w:val="none"/>
        </w:rPr>
        <w:t>-0</w:t>
      </w:r>
      <w:r>
        <w:rPr>
          <w:rFonts w:hint="eastAsia"/>
          <w:color w:val="auto"/>
          <w:highlight w:val="none"/>
          <w:lang w:val="en-US" w:eastAsia="zh-CN"/>
        </w:rPr>
        <w:t>89、</w:t>
      </w:r>
      <w:r>
        <w:rPr>
          <w:rFonts w:hint="eastAsia"/>
          <w:color w:val="auto"/>
          <w:highlight w:val="none"/>
        </w:rPr>
        <w:t>WZ-28</w:t>
      </w:r>
      <w:r>
        <w:rPr>
          <w:rFonts w:hint="eastAsia"/>
          <w:color w:val="auto"/>
          <w:highlight w:val="none"/>
          <w:lang w:val="en-US" w:eastAsia="zh-CN"/>
        </w:rPr>
        <w:t>2002</w:t>
      </w:r>
      <w:r>
        <w:rPr>
          <w:rFonts w:hint="eastAsia"/>
          <w:color w:val="auto"/>
          <w:highlight w:val="none"/>
        </w:rPr>
        <w:t>-0</w:t>
      </w:r>
      <w:r>
        <w:rPr>
          <w:rFonts w:hint="eastAsia"/>
          <w:color w:val="auto"/>
          <w:highlight w:val="none"/>
          <w:lang w:val="en-US" w:eastAsia="zh-CN"/>
        </w:rPr>
        <w:t>90、</w:t>
      </w:r>
      <w:r>
        <w:rPr>
          <w:rFonts w:hint="eastAsia"/>
          <w:color w:val="auto"/>
          <w:highlight w:val="none"/>
        </w:rPr>
        <w:t>WZ-28</w:t>
      </w:r>
      <w:r>
        <w:rPr>
          <w:rFonts w:hint="eastAsia"/>
          <w:color w:val="auto"/>
          <w:highlight w:val="none"/>
          <w:lang w:val="en-US" w:eastAsia="zh-CN"/>
        </w:rPr>
        <w:t>2002</w:t>
      </w:r>
      <w:r>
        <w:rPr>
          <w:rFonts w:hint="eastAsia"/>
          <w:color w:val="auto"/>
          <w:highlight w:val="none"/>
        </w:rPr>
        <w:t>-0</w:t>
      </w:r>
      <w:r>
        <w:rPr>
          <w:rFonts w:hint="eastAsia"/>
          <w:color w:val="auto"/>
          <w:highlight w:val="none"/>
          <w:lang w:val="en-US" w:eastAsia="zh-CN"/>
        </w:rPr>
        <w:t>91通信单元投标单位具备国网计量检测中心检测证书。</w:t>
      </w:r>
    </w:p>
    <w:p>
      <w:pPr>
        <w:rPr>
          <w:color w:val="auto"/>
          <w:highlight w:val="none"/>
        </w:rPr>
      </w:pPr>
      <w:r>
        <w:rPr>
          <w:color w:val="auto"/>
          <w:highlight w:val="none"/>
        </w:rPr>
        <w:br w:type="page"/>
      </w:r>
    </w:p>
    <w:p>
      <w:pPr>
        <w:rPr>
          <w:rFonts w:hint="eastAsia"/>
          <w:b/>
          <w:color w:val="auto"/>
          <w:highlight w:val="none"/>
        </w:rPr>
      </w:pPr>
      <w:r>
        <w:rPr>
          <w:rFonts w:hint="eastAsia"/>
          <w:b/>
          <w:color w:val="auto"/>
          <w:highlight w:val="none"/>
        </w:rPr>
        <w:t>附件</w:t>
      </w:r>
      <w:r>
        <w:rPr>
          <w:rFonts w:hint="eastAsia"/>
          <w:b/>
          <w:color w:val="auto"/>
          <w:highlight w:val="none"/>
          <w:lang w:val="en-US" w:eastAsia="zh-CN"/>
        </w:rPr>
        <w:t>3</w:t>
      </w:r>
      <w:r>
        <w:rPr>
          <w:rFonts w:hint="eastAsia"/>
          <w:b/>
          <w:color w:val="auto"/>
          <w:highlight w:val="none"/>
        </w:rPr>
        <w:t>：国网青海省电力公司2020年第二次物资（282002）招标采购项目最高投标限价清单及特殊要求</w:t>
      </w:r>
    </w:p>
    <w:tbl>
      <w:tblPr>
        <w:tblStyle w:val="95"/>
        <w:tblW w:w="14685"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460"/>
        <w:gridCol w:w="940"/>
        <w:gridCol w:w="518"/>
        <w:gridCol w:w="2079"/>
        <w:gridCol w:w="4239"/>
        <w:gridCol w:w="3084"/>
        <w:gridCol w:w="700"/>
        <w:gridCol w:w="456"/>
        <w:gridCol w:w="1329"/>
        <w:gridCol w:w="880"/>
      </w:tblGrid>
      <w:tr>
        <w:tblPrEx>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序号</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网省采购申请号</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行号</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项目单位</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 xml:space="preserve">工程项目名称 </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物资描述</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数量</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单位</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最高投标限价</w:t>
            </w:r>
          </w:p>
          <w:p>
            <w:pPr>
              <w:keepNext w:val="0"/>
              <w:keepLines w:val="0"/>
              <w:widowControl/>
              <w:suppressLineNumbers w:val="0"/>
              <w:jc w:val="center"/>
              <w:textAlignment w:val="center"/>
              <w:rPr>
                <w:rFonts w:hint="default" w:asciiTheme="minorEastAsia" w:hAnsiTheme="minorEastAsia" w:eastAsiaTheme="minorEastAsia" w:cstheme="minorEastAsia"/>
                <w:i w:val="0"/>
                <w:color w:val="auto"/>
                <w:sz w:val="15"/>
                <w:szCs w:val="15"/>
                <w:highlight w:val="none"/>
                <w:u w:val="none"/>
                <w:lang w:val="en-US"/>
              </w:rPr>
            </w:pPr>
            <w:r>
              <w:rPr>
                <w:rFonts w:hint="eastAsia" w:asciiTheme="minorEastAsia" w:hAnsiTheme="minorEastAsia" w:eastAsiaTheme="minorEastAsia" w:cstheme="minorEastAsia"/>
                <w:i w:val="0"/>
                <w:color w:val="auto"/>
                <w:kern w:val="0"/>
                <w:sz w:val="15"/>
                <w:szCs w:val="15"/>
                <w:highlight w:val="none"/>
                <w:u w:val="none"/>
                <w:lang w:val="en-US" w:eastAsia="zh-CN" w:bidi="ar"/>
              </w:rPr>
              <w:t>（分项总价万元）</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特殊要求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0300063306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国网青海海北供电公司2020年配网不停电作业旁路开关购置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10kVSF6瓷柱式断路器,630A,31.5kA,三相机械联动,户外</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28.000000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0300063280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国网青海海南供电公司2020年配网不停电作业旁路开关购置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10kVSF6瓷柱式断路器,630A,31.5kA,三相机械联动,户外</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28.000000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0300063277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国网青海黄化供电公司2020年配网不停电作业旁路开关购置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10kVSF6瓷柱式断路器,630A,31.5kA,三相机械联动,户外</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28.000000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0300063996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国网青海西宁供电公司2020年配电电缆不停电作业工具购置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带电作业绝缘管材,实心绝缘棒</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根</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0300063340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国网青海黄化供电公司2020年10kV移动式变电站购置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移动变电站,AC10kV</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82.000000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0500268556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青海海东川垣东110kV输变电新建工程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小电阻接地成套装置,AC10kV,600A,10s,户内</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海拔修正2000米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0500267916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国网青海海东供电公司110kV空港变电站断路器安装在线监测装置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变电在线监测装置,测温监测系统</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45.600000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0500268598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国网青海海北供电公司110kV达浩II回线路、110kV明晏牵线路加装无线测温装</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线路在线监测装置,线温监测系统</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86.539920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0500268585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国网青海西宁供电公司110kV公园至江河变110kV电缆隧道监控完善</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线路在线监测装置,电缆隧道在线监测系统</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231.650000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0500268316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国网青海海南供电公司110kV同德变综自改造</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端子箱</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18.000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20.340000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0500268460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国网青海黄化供电公司河南35kV变电站10kV单母接线改造为单母分段接线方式</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端子箱</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1.580000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0500267649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青海海北大庄110kV变电站35kV间隔扩建工程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端子箱</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0500267649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青海海北大庄110kV变电站35kV间隔扩建工程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端子箱</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0.750000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0500267647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青海海北峨堡35kV变电站35kV间隔扩建工程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端子箱</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0500267647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青海海北峨堡35kV变电站35kV间隔扩建工程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端子箱</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0.750000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0500268556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青海海东川垣东110kV输变电新建工程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电能表屏</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面</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1.740200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0500205857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730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青海海西彩云330千伏变电站110kV配套送出工程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电能表屏</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面</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0.904000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0500205857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740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青海海西彩云330千伏变电站110kV配套送出工程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端子箱</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1.808000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0500205857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750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青海海西彩云330千伏变电站110kV配套送出工程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端子箱</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0.904000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0500269111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青海海西临疆110kV输变电新建工程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电能表屏</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面</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1.130000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0500269111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青海海西临疆110kV输变电新建工程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端子箱</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1.921000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0500268316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国网青海海南供电公司110kV同德变综自改造</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UPS电源（不间断电源）,5kVA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5.650000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0500268430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国网青海海南供电公司35kV和日变等6座变电站蓄电池更换</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蓄电池组,DC2V,100Ah,阀控式密封</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13.560000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0500268237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国网青海西宁供电公司变电站运维一班等3个变电运维班主设备监控系统终端改造</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UPS电源（不间断电源）,30kVA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32.000018</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0500268866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国网青海信通公司±400kV柴达木换流站通信电源改造</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直流-48V通信电源成套设备,500A,1000Ah</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44.699862</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0500268878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国网青海信通公司省调大楼负二楼调度自动化UPS电源增容改造</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UPS电源（不间断电源）,200kVA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223.719660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0500268556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青海海东川垣东110kV输变电新建工程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智能一体化电源系统,DC220V,100A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25.673600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0500269111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青海海西临疆110kV输变电新建工程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智能一体化电源系统,DC220V,100A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22.600000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0300063480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国网青海信通公司2020年蓄电池充放电仪购置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蓄电池放电仪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2.900000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0300064482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国网青海果洛供电公司2020年蓄电池组放电仪购置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蓄电池放电仪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0300063323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国网青海海北供电公司2020年蓄电池组放电仪购置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蓄电池放电仪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8.999998</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0300063363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国网青海海南供电公司2020年蓄电池组放电仪购置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蓄电池放电仪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0300063518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国网青海海西供电公司2020年蓄电池组放电仪购置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蓄电池放电仪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0300063346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国网青海黄化供电公司2020年蓄电池组放电仪购置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蓄电池放电仪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0300063798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国网青海检修公司2020年蓄电池组放电仪购置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蓄电池放电仪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0300064000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国网青海西宁供电公司2020年蓄电池组放电仪购置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蓄电池放电仪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0300063541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国网青海玉树供电公司2020年蓄电池组放电仪购置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蓄电池放电仪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0500268086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国网青海检修公司±400kV柴达木换流站低压直流系统功能完善</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直流绝缘监测装置</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30.000144</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0500270651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国网青海西宁供电公司浦宁110kV变电站10kV配网单相接地故障快速处置与选线装</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小电流接地选线装置,AC10kV</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357.080000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0500268506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国网青海海北供电公司2020年“网上国网”服务提升（移动作业终端购置）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营销服务移动作业终端</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0500268281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国网青海海东供电公司2020年“网上国网”服务提升（移动作业终端购置）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营销服务移动作业终端</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160.000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112.000000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0500268480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国网青海海西供电公司2020年“网上国网”服务提升（移动作业终端购置）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营销服务移动作业终端</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63.000000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0500268581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国网青海海南供电公司2020年“网上国网”服务提升（移动作业终端购置）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营销服务移动作业终端</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0500268634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国网青海黄化供电公司2020年“网上国网”服务提升（移动作业终端购置）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营销服务移动作业终端</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210.000000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0500268515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国网青海西宁供电公司2020年“网上国网”服务提升（移动作业终端购置）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营销服务移动作业终端</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0500268313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国网青海果洛供电公司2020年“网上国网”服务提升（移动作业终端购置）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营销服务移动作业终端</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0500268317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国网青海玉树供电公司2020年“网上国网”服务提升（移动作业终端购置）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营销服务移动作业终端</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224.000000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0500268554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国网青海海东供电公司2020年客户侧泛在电力物联网设备物理层适应性升级改造（二次</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回路状态巡检仪,三相三线,穿心式,100V,5A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97.999650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0500268089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国网青海海西供电公司2020年客户侧泛在电力物联网设备物理层适应性升级改造</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回路状态巡检仪,三相三线,穿心式,100V,5A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27.999900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0500268512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国网青海西宁供电公司2020年客户侧泛在电力物联网设备物理层适应性升级改造（二次</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回路状态巡检仪,三相三线,压接式,100V,5A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42.000000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0500268512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国网青海西宁供电公司2020年客户侧泛在电力物联网设备物理层适应性升级改造（二次</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回路状态巡检仪,三相四线,压接式,220V/380V,5A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98.000000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0500268147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国网青海果洛供电公司2020年客户侧泛在电力物联网设备物理层适应性升级改造（二次</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回路状态巡检仪,三相三线,压接式,100V,5A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0500268147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国网青海果洛供电公司2020年客户侧泛在电力物联网设备物理层适应性升级改造（二次</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回路状态巡检仪,三相四线,压接式,220V/380V,5A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4.200000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0500268283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国网青海海北供电公司2020年客户侧泛在电力物联网设备物理层适应性升级改造（二次</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回路状态巡检仪,三相三线,压接式,100V,5A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8.400000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0500268283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国网青海海北供电公司2020年客户侧泛在电力物联网设备物理层适应性升级改造（二次</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回路状态巡检仪,三相四线,压接式,220V/380V,5A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47.600000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0500268318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国网青海海南供电公司2020年客户侧泛在电力物联网设备物理层适应性升级改造（二次</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回路状态巡检仪,三相四线,压接式,220V/380V,5A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27.999900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0500268318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国网青海海南供电公司2020年客户侧泛在电力物联网设备物理层适应性升级改造（二次</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回路状态巡检仪,三相三线,压接式,100V,5A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27.999900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0500268633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国网青海黄化供电公司2020年客户侧泛在电力物联网设备物理层适应性升级改造（二次</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回路状态巡检仪,三相三线,压接式,100V,5A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22.399920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0500268633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国网青海黄化供电公司2020年客户侧泛在电力物联网设备物理层适应性升级改造（二次</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回路状态巡检仪,三相四线,压接式,220V/380V,5A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47.599830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0500268580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国网青海玉树供电公司2020年客户侧泛在电力物联网设备物理层适应性升级改造（二次</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回路状态巡检仪,三相四线,压接式,220V/380V,5A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8.400000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0500268580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国网青海玉树供电公司2020年客户侧泛在电力物联网设备物理层适应性升级改造（二次</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回路状态巡检仪,三相三线,压接式,100V,5A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5.600000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0500268363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国网青海黄化供电公司等离子大屏幕改造</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电力市场技术支持系统</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0300063393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国网青海海北供电公司2020年便携式漏洞扫描仪购置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二次系统安全防护设备,安全扫描</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17.799986</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0300063648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国网青海海东供电公司2020年便携式漏洞扫描仪购置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二次系统安全防护设备,安全扫描</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17.800000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0300063635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国网青海海南供电公司2020年便携式漏洞扫描仪购置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二次系统安全防护设备,安全扫描</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17.800000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0300063253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国网青海海西供电公司2020年便携式漏洞扫描仪购置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二次安全防护设备，安全扫描</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17.800000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0300063553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国网青海黄化供电公司2020年便携式漏洞扫描仪购置.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二次系统安全防护设备,安全扫描</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17.799873</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0300063634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国网青海检修公司2020年便携式漏洞扫描仪购置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二次系统安全防护设备,安全扫描</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17.799997</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0300063707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国网青海西宁供电公司2020年便携式漏洞扫描仪购置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二次系统安全防护设备,安全扫描</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17.800000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0300063298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青海省电力公司信息通信公司2020年便携式漏洞扫描仪购置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二次系统安全防护设备,安全扫描</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17.800000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0500242335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国网青海检修公司±400kV柴达木换流站主辅设备全面监视及智能管控中心接入改造.</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主设备全面监视系统</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86.499994</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0500271255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青海西宁山城330kV变电站110kV间隔扩建工程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运维班全面监视系统</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266.706710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0500268556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青海海东川垣东110kV输变电新建工程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智能变电站变压器油中溶解气体在线监测装置,≥6</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18.423520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0500268316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国网青海海南供电公司110kV同德变综自改造</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智能变电站辅助系统综合监控平台</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28.250000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0500268556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青海海东川垣东110kV输变电新建工程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智能变电站辅助系统综合监控平台</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33.900000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0500269111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青海海西临疆110kV输变电新建工程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智能变电站辅助系统综合监控平台</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22.600000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0500267916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国网青海海东供电公司110kV空港变电站断路器安装在线监测装置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智能变电站状态监测,断路器在线监测</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141.800000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0500267916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国网青海海东供电公司110kV空港变电站断路器安装在线监测装置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智能变电站状态监测,避雷器在线监测</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0300064130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青海电力科学试验研究院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国网青海电科院2020年电能量采集终端购置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智能变电站电能量采集终端</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17.999996</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0500268556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青海海东川垣东110kV输变电新建工程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智能变电站电能量采集终端</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27.605900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0500269111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青海海西临疆110kV输变电新建工程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智能变电站电能量采集终端</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16.950000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0300063459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国网青海玉树供电公司2020年变电卫星电话（北斗）购置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卫星电话,北斗</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部</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0500268627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国网青海信通公司电网规划计算终端及会商平台建设</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电视会议外围成套设备</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99.937200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0300063407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国网青海信通公司2020年视频会议摄像机购置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图像采集摄像头,通用性型号,通用性厂家</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17.600000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0300063408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国网青海信通公司2020年视频会议终端购置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电视会议终端设备,H.323,IP</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52.800000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0500268293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国网青海西宁供电公司秦万璋、黄家寨、上新庄、青多林供电所建筑智能化分系统视频监控</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视频监视系统</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36.257317</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0500268652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国网青海信通公司综合楼建筑智能化分系统视频监控及火灾报警子系统改</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视频监视系统</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52.570000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0500268652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国网青海信通公司综合楼建筑智能化分系统视频监控及火灾报警子系统改</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火灾报警系统</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77.140000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0500268018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国网青海信通公司-第三方边界改造-安全产品购置项目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上网行为管理</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0500268304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国网青海信通公司-网络安全分析室建设二期态势实时监控平台-安全产品购置项目项目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上网行为管理</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198.000000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0500268305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国网青海信通公司-域名安全监测系统一期-安全产品购置项目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上网行为管理</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94.999999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0500268014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国网青海信通公司信通三楼广哈调度交换机网管服务器维修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交换系统网管</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13.560000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0500252121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基础设施-2019年各单位数据中心云基础设施-软硬件购置项目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硬件加密机,无并发</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0500268017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国网青海信通公司-2020年信息系统硬件升级完善-软硬件购置项目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硬件加密机,无并发</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0500268017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国网青海信通公司-2020年信息系统硬件升级完善-软硬件购置项目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硬件加密机,无并发</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0500268017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国网青海信通公司-2020年信息系统硬件升级完善-软硬件购置项目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隔离设备</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0500259764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国网青海信通公司-海湖信息机房基础环境扩建-软硬件购置项目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模块化数据中心</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458.400000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0500268537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国网青海信通公司省调主设备全面监视</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成熟套装软件</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276.499999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0500268537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国网青海信通公司省调主设备全面监视</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成熟套装软件</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0500268270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国网青海信通公司-营销业务应用系统架构优化改造-软硬件购置项目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成熟套装软件</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464.400000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0500268019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国网青海信通公司-外网服务器安全防护-安全产品购置项目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系统安全软件</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42.499999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0300063750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青海省电力公司本部</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国网青海电力本部2020年工程型投影仪报废更新</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投影仪,吊挂式,DLP,4200流明以上</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0300063713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国网青海西宁供电公司2020年投影仪购置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投影仪,吊挂式,DLP,4500流明以上</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12.599999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0500268791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国网青海海北供电公司2020年用电检查（反窃电）管理提升项目（现场行为记录仪）</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数码设备,摄像机/配件</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0500268552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国网青海海东供电公司2020年用电检查（反窃电）管理提升项目（现场行为记录仪）</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数码设备,摄像机/配件</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48.000000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0500268465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国网青海海南供电公司2020年用电检查（反窃电）管理提升项目（现场行为记录仪 ）</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数码设备,摄像机/配件</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47.988840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0500268650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国网青海海西供电公司2020年用电检查（反窃电</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数码设备,摄像机/配件</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46.000000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0500268604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国网青海黄化供电公司2020年用电检查（反窃电）管理提升项目（现场行为记录仪）</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数码设备,摄像机/配件</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0500268319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国网青海玉树供电公司2020年用电检查（反窃电）管理提升项目（现场行为记录仪）</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数码设备,摄像机/配件</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48.000000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0300064084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国网青海果洛供电公司2020年供电所净水设备购置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净水器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12.600000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0300064083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国网青海果洛供电公司2020年净水设备购置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净水器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63.749997</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0300063394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国网青海海北供电公司2020年净水设备购置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净水器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18.329956</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0300063305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国网青海海北供电公司2020年10kV配网绝缘杆作业法不停电作业工器具购置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组合绝缘杆</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根</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29.999918</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0300063851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国网青海海东供电公司2020年10kV配网绝缘杆作业法不停电作业工器具购置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组合绝缘杆</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根</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29.999999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0300062747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国网青海海南供电公司2020年10kV配网绝缘杆作业法不停电作业工器具购置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组合绝缘杆</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根</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0300063225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国网青海海西供电公司2020年10kV配网绝缘杆作业法不停电作业工器具购置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组合绝缘杆</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根</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29.999999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0300063276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国网青海黄化供电公司2020年10kV配网绝缘杆作业法不停电作业工器具购置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组合绝缘杆</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根</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0300063983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国网青海西宁供电公司2020年10kV配网绝缘杆作业法不停电作业工器具购置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组合绝缘杆</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根</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0300063456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国网青海玉树供电公司2020年10kV配网绝缘杆作业法不停电作业工器具购置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组合绝缘杆</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根</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0300063749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国网青海海东供电公司2020年自行式曲臂型高空作业平台购置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升降平台,24-30m</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0300063867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国网青海检修公司2020年海南换流站阀厅作业平台购置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升降平台,7-8m</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0300063853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国网青海海东供电公司2020年电缆外护套剥除转刀购置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电缆剥除器,外护套</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1.999874</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0300063855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国网青海海东供电公司2020年电缆主绝缘及半导电层剥离器购置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电缆剥除器,主绝缘</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3.999998</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0300064060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青海省电力公司培训中心</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国网青海培训中心2020年电动压接机（含模具）购置1</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压接机</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4.999120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0300063109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国网青海检修公司2020年带电清扫机购置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清扫刷</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把</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16.000000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0300063926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国网青海检修公司2020年电动升降机ACX购置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提升器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0300064560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国网青海果洛供电公司2020年电动切割锯购置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机床刀具,切刀</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件</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2.199999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0300064561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国网青海果洛供电公司2020年锂电池链锯购置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电链锯,405mm</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0.749999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0300064026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国网青海果洛供电公司2020年手动液压叉车购置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手动液压叉车</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辆</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2.499995</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0300063397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国网青海海北供电公司2020年电动液压多功能钳购置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液压钳,分离式,2000kN</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13.499997</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0300063395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国网青海海北供电公司2020年框架充气式帐篷购置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帐篷</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1.999987</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0300063398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国网青海海北供电公司2020年锂电池链锯购置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电链锯,405mm</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0.749981</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0300063399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国网青海海北供电公司2020年汽油链锯购置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锯,油锯</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把</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0.799995</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0300064055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国网青海海南供电公司2020年手动托盘搬运叉车购置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手动液压叉车</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辆</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0300063433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国网青海海西供电公司2020年单人高空作业包购置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防坠落装置</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2.999998</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0300063434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国网青海海西供电公司2020年电动切割锯购置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机床刀具,切刀</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件</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0300063935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国网青海海西供电公司2020年手动托盘搬运叉车购置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手动液压叉车</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辆</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3.955000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0300064456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国网青海黄化供电公司2020年电动切割锯购置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机床刀具,切刀</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件</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2.199997</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0300064345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国网青海黄化供电公司2020年电动液压多功能钳购置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液压钳,分离式,2000kN</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13.499997</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0300064349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国网青海黄化供电公司2020年电动液压剪断器购置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扩张剪切器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14.999959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0300064348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国网青海黄化供电公司2020年电动液压扩张器购置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扩张器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12.499947</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0300064147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国网青海黄化供电公司2020年框架充气式帐篷购置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帐篷</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1.899982</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0300064457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国网青海黄化供电公司2020年锂电池链锯购置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电圆锯,GKS190</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0.749981</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0300063841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国网青海检修公司2020年便携式有害气体测试仪购置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便携式有害气体测试仪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3.199996</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0300062966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国网青海检修公司2020年单人高空作业包购置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防坠落装置</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2.999924</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0300063293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国网青海检修公司2020年电动液压扩张器购置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扩张器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12.499947</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0300063211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国网青海检修公司2020年格尔木仓储点断线钳购置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钳,断线钳,42吋,非绝缘</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1.499973</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0300063294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国网青海检修公司2020年锂电池链锯购置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电圆锯,GKS190</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0.749981</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0300063142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国网青海检修公司2020年总寨仓储点手动液压搬运车购置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手动液压搬运车</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辆</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0.999982</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0300063913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国网青海省西宁供电公司2020年仓库电缆切断钳购置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电缆切刀,液压整体式</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7.500000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0300063916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国网青海省西宁供电公司2020年仓库手动托盘搬运叉车购置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手动液压叉车</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辆</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0300063914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国网青海省西宁供电公司2020年仓库手动液压断线钳购置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钳,断线钳,42吋,绝缘</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0500268408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国网青海西宁供电公司110kV泉湖线等41条110kV输电线路标准化整治</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标识牌,PVC</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面</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15.255000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0300063712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国网青海西宁供电公司2020年电动订书机报废更新</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订书机</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4.200000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0300064299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国网青海玉树供电公司2020年电动切割锯购置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机床刀具,切刀</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件</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2.200000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0300064297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国网青海玉树供电公司2020年电动液压多功能钳购置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液压钳,分离式,2000kN</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13.500000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0300064295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国网青海玉树供电公司2020年电动液压剪断器购置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扩张剪切器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0300064298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国网青海玉树供电公司2020年电动液压扩张器购置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扩张器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12.500000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0300064310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国网青海玉树供电公司2020年汽油链锯购置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锯,油锯</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把</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0.800000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160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0300063432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国网青海海西供电公司2020年电动液压扩张钳购置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消防破拆工具,成套工具组</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6.800000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161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0300063292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国网青海检修公司2020年电动液压多功能钳购置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消防破拆工具,成套工具组</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12.999972</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162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0300064022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国网青海果洛供电公司2020年重型横梁式货架购置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货架,横梁式,2.5m</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组</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11.999990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163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0300063988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国网青海海东供电公司2020年横梁式货架购置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货架,横梁式,2.5m</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组</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11.999990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164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0300063213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国网青海检修公司2020年格尔木仓储点重型横梁式货架购置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货架,横梁式,5m</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组</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11.999920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165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0300063179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国网青海检修公司2020年南川仓储点线缆盘存储架购置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流利货架</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5.599920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166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0300063178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国网青海检修公司2020年南川仓储点悬臂式货架购置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货架,悬臂式,2m</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组</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5.999840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167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0300063216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国网青海检修公司2020年南川仓储点重型横梁式货架购置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货架,横梁式,5m</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组</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47.999680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168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0300063145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国网青海检修公司2020年总寨仓储点重型横梁式货架购置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货架,横梁式,5m</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组</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11.999920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169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0300063918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国网青海省西宁供电公司2020年仓库重型横梁式货架购置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货架,横梁式,2.5m</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组</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48.000000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0300063239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青海省电力公司物资供应公司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国网青海物资公司2020年国网青海电力西宁中心库重型横梁式货架购置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货架,横梁式,4m</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组</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47.997880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0300064450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国网青海玉树供电公司2020年防磁柜购置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办公用柜、架、箱,木制,防磁柜,高档</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组</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2.599998</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0300064025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国网青海果洛供电公司2020年地磅购置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台秤,通用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1.599998</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0300063401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国网青海海北供电公司2020年仓地磅购置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台秤,通用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1.599990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0300063977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国网青海海东供电公司2020年地磅购置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台秤,通用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3.199996</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0300063978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国网青海海东供电公司2020年电子台秤购置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厨具,坐地台秤</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0.700000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0300064056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国网青海海南供电公司2020年地磅购置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台秤,通用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28.000000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0300064054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国网青海海南供电公司2020年电子台秤购置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厨具,坐地台秤</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4.200000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0300063935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国网青海海西供电公司2020年电子地磅购置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台秤,通用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3.616000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0300063691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国网青海黄化供电公司2020年电子地磅购置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台秤,通用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4.200000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180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0300063212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国网青海检修公司2020年格尔木仓储点电子台秤购置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厨具,坐地台秤</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0.699990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181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0300063215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国网青海检修公司2020年南川仓储点电子台秤购置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厨具,坐地台秤</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0.699990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182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0300063144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国网青海检修公司2020年总寨仓储点3T地磅购置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台秤,通用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0.799995</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183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0300063919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国网青海省西宁供电公司2020年仓库计量设备购置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台秤,通用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2.800000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184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0300064407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网青海玉树供电公司2020年仓库电子秤购置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台秤,通用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4.999400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185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0500268790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国网青海海北供电公司2020年客户侧智慧物联通信建设与改造（通信通道拓展升级）</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采集终端检测设备配件,SWT300A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186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0500268584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国网青海海南供电公司2020年客户侧智慧物联通信建设与改造（通信通道拓展升级）</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采集终端检测设备配件,SWT300A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119.999900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187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0500268531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国网青海海西供电公司2020年客户侧智慧物联通信建设与改造（通信通道拓展升级</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采集终端检测设备配件,SWT300A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59.999950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188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0500268635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国网青海黄化供电公司2020年客户侧智慧物联通信建设与改造（通信通道拓展升级）</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采集终端检测设备配件,SWT300A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96.000160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189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0500268398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国网青海果洛供电公司2020年客户侧智慧物联通信建设与改造（通信通道拓展升级）</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采集终端检测设备配件,SWT300A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180.000000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190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0500268973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国网青海玉树供电公司2020年客户侧智慧物联通信建设与改造（通信通道拓展升级）</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采集终端检测设备配件,SWT300A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191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0500268551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国网青海海东供电公司2020年客户侧智慧物联通信建设与改造（通信通道拓展升级）</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采集终端检测设备配件,SWT300A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239.999800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192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0500268509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国网青海西宁供电公司2020年客户侧智慧物联通信建设与改造（通信通道拓展升级）</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采集终端检测设备配件,SWT300A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193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0500263636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590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果洛州达日县10kV建一路查雀寺台区改造工程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采集终端检测设备配件,SWT300A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1.243000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194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0500265851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青海果洛班玛县达卡乡10kV卡二路金矿沟配电工程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采集终端检测设备配件,SWT300A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2.486000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195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0500263830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青海果洛甘德县10kV俄尔金一台区改造工程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采集终端检测设备配件,SWT300A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1.243000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196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0500263639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530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青海果洛久治县达尕村10kV线路延伸工程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采集终端检测设备配件,SWT300A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4.972000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197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0500268795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青海海北刚察10kV泉二路切吉2支线及切吉1台区等4个台区增容改造工程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采集终端检测设备配件,SWT300A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3.616000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198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0500268796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青海海北刚察10kV泉二路主线174-318杆等分支线路及切吉7台区台区等3个台</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采集终端检测设备配件,SWT300A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3.616000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199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0500268797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青海海北刚察10kV永三路瓦颜圣峰地区台区新建工程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采集终端检测设备配件,SWT300A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3.616000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0500268794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青海海北刚察10千伏泉二路1-174杆等分支线路及冶合茂7台区等4个台区增容改造</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采集终端检测设备配件,SWT300A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3.616000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0300064023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国网青海果洛供电公司2020年异物激光清除装置购置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激光器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0300063302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国网青海海北供电公司2020年异物激光清除装置购置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激光器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0300063745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国网青海海东供电公司2020年异物激光清除装置购置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激光器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79.999932</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0300063281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国网青海海南供电公司2020年异物激光清除装置购置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激光器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0300063512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国网青海海西供电公司2020年异物激光清除装置购置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激光器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160.000000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0300063273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国网青海黄化供电公司2020年异物激光清除装置购置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激光器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0300063927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国网青海检修公司2020年异物激光清除装置购置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激光器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240.000000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0300063819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国网青海西宁供电公司2020年异物激光清除装置购置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激光器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0300063455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国网青海玉树供电公司2020年异物激光清除装置购置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激光器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210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0500268963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国网青海信通公司海西通信主站等2个站点调度数据网汇聚路由器C-POS板扩容</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网络路由器配件,通用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56.500000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211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0500268015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国网青海信通公司省调八楼调度交换机电源扩容</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交换系统电源模块,通用性型号,通用性厂家</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12.429600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212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0500268689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国网青海西宁供电公司110kV浦宁变电站10kV开关柜触头测温在线装置加装</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变电在线监测装置配件,传感器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57.381400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213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0500268926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国网青海果洛供电公司110kV果查II回隐患治理</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防风偏复合绝缘子,FSP-110/0.8-2,1440,3520</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195.000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支</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10.725000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214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0500268925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国网青海果洛供电公司110kV果查I回隐患治理</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防风偏复合绝缘子,FSP-110/0.8-2,1440,3520</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237.000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支</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13.035000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215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0300063307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国网青海海北供电公司2020年SF6回收装置购置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SF6气体回收装置</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20.995400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216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0300063850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国网青海海东供电公司2020年SF6气体抽真空装置购置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SF6气体回收装置</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217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0500268432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国网青海海南供电公司110kV卡力岗、镜湖变加装火灾报警系统</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火灾报警系统</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13.560000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218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0500268556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青海海东川垣东110kV输变电新建工程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火灾报警系统</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6.215000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219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0500269111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青海海西临疆110kV输变电新建工程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火灾报警系统</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13.560000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220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0500208889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650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青海海西柳格110kV开关站新建工程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火灾报警系统</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13.560000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221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0300064082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国网青海果洛供电公司2020年运维站制氧设备购置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制氧设备</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293.000000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222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0300063816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国网青海海东供电公司2020年移动充电站购置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换电系统,乘用车应急换电设备</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223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0300064008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国网青海西宁供电公司2020年500kVAUPS保电车购置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电力专用作业车,载货汽车,配电,移动电源</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辆</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224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0300063454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国网青海玉树供电公司2020年200kVAUPS保电车购置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电力专用作业车,载货汽车,配电,移动电源</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辆</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225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0300063817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国网青海西宁供电公司2020年STS静态转换开关应急车辆购置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电力专用作业车,载货汽车,配电,旁路开关</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辆</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226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0300063950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青海省检修公司2020年消防车购置Ⅰ</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消防车,举高喷射消防车,10m3～12m3</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辆</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285.000000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227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0300063866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青海省检修公司2020年消防车购置Ⅱ</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消防车,举高喷射消防车,10m3～12m3</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辆</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285.000000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228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0300063698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国网青海检修公司2020年海南换流站电瓶车购置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专用汽车-箱式,保温(冷藏)车</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辆</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229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0300064027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国网青海果洛供电公司2020年电动叉车购置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轮式自行机械车,叉车</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辆</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230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0300063400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国网青海海北供电公司2020年仓库电动叉车购置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轮式自行机械车,叉车</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辆</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63.999990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231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0300063976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国网青海海东供电公司2020年电动叉车购置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轮式自行机械车,叉车</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辆</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96.000000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232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0300064057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国网青海海南供电公司2020年电动叉车购置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轮式自行机械车,叉车</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辆</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64.000000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233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0300063935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国网青海海西供电公司2020年电动叉车购置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轮式自行机械车,叉车</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辆</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144.640000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234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0300063690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国网青海黄化供电公司2020年电动叉车购置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轮式自行机械车,叉车</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辆</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160.000000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235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0300063147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国网青海检修公司2020年格尔木仓储点电动叉车购置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轮式自行机械车,叉车</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辆</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22.999997</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236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0300063146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国网青海检修公司2020年南川仓储点电动叉车购置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轮式自行机械车,叉车</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辆</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31.999995</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237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0300063917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国网青海省西宁供电公司2020年仓库电动叉车购置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轮式自行机械车,叉车</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辆</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128.000000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238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0300064406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国网青海玉树供电公司2020年仓库电动叉车购置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轮式自行机械车,叉车</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辆</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239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0500268291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国网青海西宁供电公司电调综合楼综合改造</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电梯,1050kg,客梯</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136.710000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240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0500267971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国网青海黄化供电公司生产倒班用房</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电梯,1050kg,客梯</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96.000000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241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0500267972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国网青海黄化尖扎县供电公司生产综合用房</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电梯,1050kg,客梯</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242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0300064024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国网青海果洛供电公司2020年移动作业终端购置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手持机(PDA)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4.500000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243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0300063301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国网青海海北供电公司2020年移动作业终端购置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手持机(PDA)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18.000000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244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0300063858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国网青海海东供电公司2020年移动作业终端购置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手持机(PDA)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245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0300062748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国网青海海南供电公司2020年移动作业终端购置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手持机(PDA)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18.000000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246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0300063511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国网青海海西供电公司2020年移动作业终端购置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手持机(PDA)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247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0300063279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国网青海黄化供电公司2020年移动作业终端购置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手持机(PDA)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18.000000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248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0300063108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国网青海检修公司2020年移动作业终端购置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手持机(PDA)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249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0300063108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国网青海检修公司2020年移动作业终端购置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手持机(PDA)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0300063818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国网青海西宁供电公司2020年移动作业终端购置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手持机(PDA)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0300063457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国网青海玉树供电公司2020年移动作业终端购置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手持机(PDA)</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4.500000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0300064031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国网青海检修公司2020年输电线路机械振动除冰装置购置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除冰装置,架空导线</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16.999999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0500267973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国网青海黄化尖扎县供电公司生产综合用房</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电取暖设备,通用,电锅炉</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0500268292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国网青海西宁大通县供电公司综合楼综合改造</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电取暖设备,通用,电锅炉</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84.680002</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0300064029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国网青海果洛供电公司2020年110kV全绝缘应急抢修直线塔购置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抢修塔</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基</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0300063513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国网青海海西供电公司2020年110kV全绝缘应急抢修直线塔购置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抢修塔</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基</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0300063274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国网青海黄化供电公司2020年110kV全绝缘应急抢修直线塔购置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抢修塔</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基</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0300063929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国网青海检修公司2020年330kV全绝缘应急抢修耐张塔购置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抢修塔</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基</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121.999998</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0300063928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国网青海检修公司2020年330kV全绝缘应急抢修直线塔购置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抢修塔</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基</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83.999998</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260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0300063982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国网青海西宁供电公司2020年110kV全绝缘应急抢修耐张塔购置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抢修塔</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基</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261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0300063980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国网青海西宁供电公司2020年110kV全绝缘应急抢修直线塔购置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抢修塔</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基</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262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0300063981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国网青海海东供电公司2020年电动托盘堆垛车购置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起重设备,半电动液压堆高车</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263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0300064120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国网青海海南供电公司2020年电动托盘堆垛车购置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起重设备,半电动液压堆高车</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264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0300063148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国网青海检修公司2020年格尔木仓储点电动托盘堆垛车购置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起重设备,半电动液压堆高车</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10.999996</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265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0300063214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国网青海检修公司2020年南川仓储点电动托盘堆垛车购置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起重设备,半电动液压堆高车</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10.999996</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266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0300063937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国网青海检修公司2020年清污机购置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清污机</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23.999844</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267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0300063309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国网青海海北供电公司2020年干冰清洗机购置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洗涤设备,清洗机</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97.999928</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268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0300064480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国网青海果洛供电公司2020年200kW发电机购置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小型发电机,柴油,拖车式,200kW-500kW</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149.999995</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269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0300064497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国网青海果洛供电公司5kW发电机购置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小型发电机,汽油,便携式,10kW以下</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2.999998</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0300063390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国网青海海北供电公司5kW发电机购置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小型发电机,汽油,便携式,10kW以下</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11.999992</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0300063719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国网青海海东供电公司5kW发电机购置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小型发电机,汽油,便携式,10kW以下</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17.999988</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0300063360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国网青海海南供电公司2020年200kW发电机购置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小型发电机,柴油,拖车式,200kW-500kW</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0300063361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国网青海海南供电公司2020年20kW发电机购置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小型发电机,汽油,便携式,10kW-50kW</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0300063383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国网青海海南供电公司5kW发电机购置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小型发电机,汽油,便携式,10kW以下</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7.500000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0300063194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国网青海海西供电公司5kW发电机购置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小型发电机,汽油,便携式,10KW以下</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7.499995</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0300063372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国网青海黄化供电公司5kW发电机购置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小型发电机,汽油,便携式,10kW以下</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7.500000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0300064009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国网青海西宁供电公司5kW发电机购置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小型发电机,汽油,便携式,10kW以下</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13.500000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0300063396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国网青海海北供电公司2020年电动液压顶杆购置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救援顶杆</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10.999985</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0300064148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国网青海黄化供电公司2020年电动液压顶杆购置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救援顶杆</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10.999985</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280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0300064296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国网青海玉树供电公司2020年电动液压顶杆购置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救援顶杆</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11.000000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281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0300063813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国网青海果洛供电公司2020年混凝土强度回弹仪购置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混凝土含气量测试仪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1.378600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282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0300064247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国网青海海东供电公司2020年混凝土强度回弹仪购置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混凝土含气量测试仪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2.729854</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283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0300064068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国网青海海南供电公司2020年混凝土强度回弹仪购置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混凝土含气量测试仪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2.760000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284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0300063938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国网青海海西供电公司2020年混凝土强度回弹仪购置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混凝土含气量测试仪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2.759998</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285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0300063779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国网青海黄化供电公司2020年混凝土强度回弹仪购置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混凝土含气量测试仪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1.356678</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286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0300063905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青海省电力公司本部</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国网青海省电力公司建设部2020年混凝土强度回弹仪购置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混凝土含气量测试仪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1.379999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287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0300063900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国网青海西宁供电公司2020年混凝土强度回弹仪购置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混凝土含气量测试仪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2.759998</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288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0300064389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国网青海玉树供电公司2020年混凝土强度回弹仪购置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混凝土含气量测试仪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1.380000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289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0300063951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青海省电力公司本部</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国网青海电力本部2020年食堂设备报废更新</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厨房成套设备,10-200人</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43.760000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290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0300063409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国网青海海东供电公司2020年食品加工设备购置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厨房成套设备,200-300人</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24.999999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291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0300063384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国网青海黄化供电公司2020年食品加工设备购置.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厨具,餐饮用具</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292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0300063386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国网青海黄化供电公司2020年食品加工设备购置.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厨具,餐饮用具</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293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0300063939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国网青海检修公司2020年食品加工设备购置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食品加工设备</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99.999915</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294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0300064454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国网青海玉树供电公司2020年食品加工设备购置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厨房成套设备,10-200人</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51.970000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295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0300064396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青海省电力公司电力经济技术研究院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国网青海经研院（能研院）2020年储能并网测试升降压单元购置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高压试验仿真仪器,电网故障模拟系统</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362.000000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296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0300063368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国网青海海南供电公司2020年高性能GIS故障检测仪购置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高压试验仿真仪器,GIS设备故障仿真系统</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297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0300064394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青海省电力公司电力经济技术研究院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国网青海经研院（能研院）2020年并联失配测试仪设备购置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直流系统测试仪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59.800000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298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0300064395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青海省电力公司电力经济技术研究院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国网青海经研院（能研院）2020年串联失配测试仪设备购置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直流系统测试仪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94.800000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299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0300064374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青海省电力公司电力经济技术研究院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国网青海经研院（能研院）2020年低功率IV设备购置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功率放大器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14.800000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0300064304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青海省电力公司电力经济技术研究院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国网青海经研院（能研院）2020年电能质量分析仪设备购置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电能质量检测仪检测装</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59.600000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0300064338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青海省电力公司电力经济技术研究院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国网青海经研院（能研院）2020年功率采集仪设备购置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功率分析仪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12.400000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0300064337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青海省电力公司电力经济技术研究院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国网青海经研院（能研院）2020年接地电阻测试仪设备购置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接地电阻测试仪检验装置</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6.400000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0300064336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青海省电力公司电力经济技术研究院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国网青海经研院（能研院）2020年绝缘测试仪设备购置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绝缘电阻测试仪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6.900000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0300064333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青海省电力公司电力经济技术研究院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国网青海经研院（能研院）2020年频率信号发生仪设备购置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信号发生器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39.600000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0300064372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青海省电力公司电力经济技术研究院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国网青海经研院（能研院）2020年气象测试仪设备购置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温度校验装置</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12.400000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0300064375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青海省电力公司电力经济技术研究院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国网青海经研院（能研院）2020年数据采集仪器设备购置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数据分析仪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72.560000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0300064335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青海省电力公司电力经济技术研究院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国网青海经研院（能研院）2020年数据记录分析仪设备购置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数据分析仪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0300063813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国网青海果洛供电公司2020年镀锌层测厚仪购置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测厚仪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0.960500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0300063813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国网青海果洛供电公司2020年防火层厚度测试仪购置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测厚仪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0.305100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310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0300063860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国网青海海北供电公司2020年镀锌层测厚仪购置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测厚仪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0.959999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311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0300063557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国网青海海北供电公司2020年防火层厚度测试仪（钢结构建筑物用）购置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测厚仪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312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0300064244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国网青海海东供电公司2020年镀锌层测厚仪购置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测厚仪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0.959935</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313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0300063979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国网青海海东供电公司2020年防火层厚度测试仪购置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测厚仪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0.299902</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314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0300064193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国网青海海南供电公司2020年镀锌层测厚仪购置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测厚仪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1.920002</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315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0300064192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国网青海海南供电公司2020年防火层厚度测试仪购置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测厚仪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0.600000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316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0300063938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国网青海海西供电公司2020年镀锌层测厚仪购置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测厚仪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0.959999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317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0300063938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国网青海海西供电公司2020年防火层厚度测试仪（钢结构建筑物用）购置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测厚仪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318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0300063812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国网青海黄化供电公司2020年镀锌层测厚仪购置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测厚仪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0.943776</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319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0300063811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国网青海黄化供电公司2020年防火层厚度测试仪购置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测厚仪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0.294930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0300063907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青海省电力公司本部</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国网青海省电力公司建设部2020年镀锌层测厚仪购置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测厚仪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0.959999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0300063898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国网青海西宁供电公司2020年镀锌层测厚仪购置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测厚仪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0.959999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0300063893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国网青海西宁供电公司2020年防火层厚度测试仪购置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测厚仪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0300063994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国网青海西宁供电公司2020年农配网超声波测厚仪购置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测厚仪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7.999996</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0300063995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国网青海西宁供电公司2020年农配网镀锌层测厚仪购置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热工特性试验分析仪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0300064387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国网青海玉树供电公司2020年镀锌层测厚仪购置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测厚仪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0.960001</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0300064385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国网青海玉树供电公司2020年防火层厚度测试仪购置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测厚仪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0300063813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国网青海果洛供电公司2020年激光测距仪装置购置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测距仪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0.542400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0300063813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国网青海果洛供电公司2020年绿光红光水平仪装置购置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水准仪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0.406800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329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0300063813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国网青海果洛供电公司2020年全站型电子测距仪装置购置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全站仪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2.599000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330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0300064242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国网青海海东供电公司2020年激光测距仪购置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测距仪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0.539914</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331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0300064240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国网青海海东供电公司2020年绿光/红光水平仪购置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水准仪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0.409964</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332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0300064245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国网青海海东供电公司2020年全站型电子测距仪购置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全站仪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2.599904</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333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0300064067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国网青海海南供电公司2020年激光测距仪购置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测距仪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1.080000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334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0300064064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国网青海海南供电公司2020年绿光/红光水平仪购置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水准仪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0.820000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335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0300064062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国网青海海南供电公司2020年全站型电子测距仪购置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全站仪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5.200000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336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0300063938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国网青海海西供电公司2020年全站型电子测距仪购置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全站仪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337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0300063938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国网青海海西供电公司2020年水准仪购置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水准仪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7.299999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338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0300063778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国网青海黄化供电公司2020年激光测距仪购置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测距仪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0.530874</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339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0300063790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国网青海黄化供电公司2020年绿光/红光水平仪购置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水准仪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0.403071</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340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0300063439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国网青海黄化供电公司2020年全站型电子测距仪购置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全站仪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2.556060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341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0300063895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国网青海西宁供电公司2020年激光测距仪购置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测距仪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0.540000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342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0300063894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国网青海西宁供电公司2020年绿光/红光水平仪购置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水准仪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0.409999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343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0300063891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国网青海西宁供电公司2020年全站型电子测距仪购置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全站仪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2.599999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344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0300064384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国网青海玉树供电公司2020年激光测距仪购置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测距仪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0.540000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345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0300063813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国网青海果洛供电公司2020年裂缝综合测试仪装置购置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裂缝宽度测试仪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2.079200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346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0300063326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国网青海海北供电公司2020年裂缝综合测试仪购置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裂缝宽度测试仪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8.399968</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347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0300063558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国网青海海北供电公司2020年裂缝综合测试仪购置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裂缝宽度测试仪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2.079991</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348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0300064065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国网青海海南供电公司2020年裂缝综合测试仪购置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裂缝宽度测试仪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4.160000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349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0300063938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国网青海海西供电公司2020年裂缝综合测试仪购置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裂缝宽度测试仪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2.079999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0300063791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国网青海黄化供电公司2020年裂缝综合测试仪购置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裂缝宽度测试仪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2.044848</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0300064383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国网青海玉树供电公司2020年裂缝综合测试仪购置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裂缝宽度测试仪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2.080000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0300063303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国网青海海北供电公司2020年高海拔大型巡检平台购置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线路巡检仪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55.999975</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0300063304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国网青海海北供电公司2020年高海拔小型巡检平台购置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线路巡检仪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33.999996</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0300063748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国网青海海东供电公司2020年高海拔大型巡检平台购置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线路巡检仪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55.999975</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0300062746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国网青海海南供电公司2020年高海拔小型巡检平台购置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线路巡检仪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34.000000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0300063224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国网青海海西供电公司2020年高海拔小型巡检平台购置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线路巡检仪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50.999994</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0300063275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国网青海黄化供电公司2020年高海拔小型巡检平台购置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线路巡检仪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34.000000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0300064030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国网青海检修公司2020年高海拔大型巡检平台购置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线路巡检仪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56.000000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0300064032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国网青海检修公司2020年喷火机购置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线路巡检仪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360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0300064061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青海省电力公司培训中心</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国网青海培训中心2020年高海拔小型巡检平台购置1</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线路巡检仪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42.499865</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361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0500268688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国网青海海北供电公司2020年电动汽车充电服务生态圈建设（充电桩计量装置改造）</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直流电能表,1级,300A,700V,红外+485</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362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0500268555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国网青海海东供电公司2020年电动汽车充电服务生态圈建设（充电桩计量装置改造）</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直流电能表,1级,300A,700V,红外+485</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16.000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4.799984</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363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0500268582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国网青海海南供电公司2020年电动汽车充电服务生态圈建设（充电桩计量装置改造</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直流电能表,1级,300A,700V,红外+485</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26.000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7.799974</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364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0500268279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国网青海海西供电公司2020年电动汽车充电服务生态圈建设（充电桩计量装置改造</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直流电能表,1级,300A,700V,红外+485</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26.000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7.799974</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365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0500268599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国网青海西宁供电公司2020年电动汽车充电服务生态圈建设（充电桩计量装置改造）</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直流电能表,1级,300A,700V,红外+485</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366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0500268974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国网青海玉树供电公司2020年能源互联网电能计量技术监督能力建设与提升（电能表校</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电能表标准设备,电能表现场校验装置,三相,0.05级</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64.000000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367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0500268977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国网青海玉树供电公司2020年能源互联网电能计量技术监督能力建设与提升（实验室检</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互感器标准设备,标准电流互感器,0.05S级</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9.850000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368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0500268525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青海电力科学试验研究院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国网青海电科院2020年能源互联网电能计量技术监督能力建设与提升（采集终端流水线</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电能表检测设备,智能化全自动流水线型,三相</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249.999957</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369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0500268523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青海电力科学试验研究院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国网青海电科院2020年能源互联网电能计量技术监督能力建设与提升（DBI型低压电</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互感器标准设备,互感器校验仪,0.02级</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159.999977</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370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0300064028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国网青海果洛供电公司2020年变电站多功能智能移动电源购置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直流试验电源</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371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0300063308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国网青海海北供电公司2020年变电站多功能智能移动电源购置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直流试验电源</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372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0300063859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国网青海海东供电公司2020年变电站多功能智能移动电源购置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直流试验电源</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12.999972</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373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0300062749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国网青海海南供电公司2020年变电站多功能智能移动电源购置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直流试验电源</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374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0300063510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国网青海海西供电公司2020年变电站多功能智能移动电源购置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直流试验电源</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12.999999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375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0300063278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国网青海黄化供电公司2020年变电站多功能智能移动电源购置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直流试验电源</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376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0300063984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国网青海西宁供电公司2020年变电站多功能智能移动电源购置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直流试验电源</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377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0300063458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国网青海玉树供电公司2020年变电站多功能智能移动电源购置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直流试验电源</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378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0300063391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国网青海海北供电公司手持光数字测试仪购置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61850数字化分析仪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17.999996</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379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0300063291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国网青海海西供电公司手持光数字测试仪零星购置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61850数字化分析仪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380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0300063660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国网青海检修公司手持光数字综合测试仪零星购置.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继电保护测试仪,手持式,无</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47.599930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381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0300064481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国网青海果洛供电公司2020年配电自动化终端测试仪购置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馈线自动化测试仪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382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0300063321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国网青海海北供电公司2020年配电自动化终端测试仪购置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馈线自动化测试仪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14.999959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383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0300063880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国网青海海东供电公司2020年配电自动化终端测试仪购置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馈线自动化测试仪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384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0300063362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国网青海海南供电公司2020年配电自动化终端测试仪购置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馈线自动化测试仪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385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0300063515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国网青海海西供电公司2020年配电自动化终端测试仪购置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馈线自动化测试仪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386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0300063343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国网青海黄化供电公司2020年配电自动化终端测试仪购置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馈线自动化测试仪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387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0300063986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国网青海西宁供电公司2020年配电自动化终端测试仪购置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馈线自动化测试仪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388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0300063540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国网青海玉树供电公司2020年配电自动化终端测试仪购置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馈线自动化测试仪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389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0300063218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青海电力科学试验研究院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国网青海电科院2020年线路参数测试仪购置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线路参数测量装置</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390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0300064483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国网青海果洛供电公司2020年内阻测试仪购置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蓄电池内阻测试仪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391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0300063219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国网青海海北供电公司2020年内阻测试仪购置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蓄电池内阻测试仪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392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0300063364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国网青海海南供电公司2020年内阻测试仪购置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蓄电池内阻测试仪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393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0300063517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国网青海海西供电公司2020年内阻测试仪购置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蓄电池内阻测试仪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394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0300063345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国网青海黄化供电公司2020年内阻测试仪购置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蓄电池内阻测试仪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395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0300063431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国网青海检修公司2020年内阻测试仪购置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蓄电池内阻测试仪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396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0300063989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国网青海西宁供电公司2020年内阻测试仪购置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蓄电池内阻测试仪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397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0300063542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国网青海玉树供电公司2020年内阻测试仪购置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蓄电池内阻测试仪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398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0300063315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青海省电力公司信息通信公司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国网青海信通公司2020年实物“ID”移动作业终端购置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移动巡检终端</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16.400000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399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0300064487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国网青海果洛供电公司2020年直流接地探测器购置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直流故障测试仪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0300063324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国网青海海北供电公司2020年直流接地探测器购置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直流故障测试仪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0300063887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国网青海海东供电公司2020年直流接地探测器购置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直流故障测试仪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0300063381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国网青海海南供电公司2020年直流接地探测器购置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直流故障测试仪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0300063519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国网青海海西供电公司2020年直流接地探测器购置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直流故障测试仪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0300063347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国网青海黄化供电公司2020年直流接地探测器购置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直流故障测试仪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0300063799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国网青海检修公司2020年直流接地探测器购置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直流故障测试仪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0300064002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国网青海西宁供电公司2020年直流接地探测器购置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直流故障测试仪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0300063546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国网青海玉树供电公司2020年直流接地探测器购置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直流故障测试仪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0300064104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青海电力科学试验研究院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国网青海电科院2020年数字标准源购置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电测量标准源</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0300064102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青海电力科学试验研究院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国网青海电科院2020年红外成像仪检验装置购置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红外测温仪检定装置</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410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0300064101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青海电力科学试验研究院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国网青海电科院2020年绝缘电阻测试仪检验装置购置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兆欧表标准校验装置</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4.300000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411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0300063881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国网青海海东供电公司2020年兆欧表检定装置购置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兆欧表标准校验装置</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412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0300063813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国网青海果洛供电公司2020年接地电阻测试仪购置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接地电阻表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0.305100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413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0300063559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国网青海海北供电公司2020年接地电阻测试仪（兆欧电阻表）购置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接地电阻表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414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0300064243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国网青海海东供电公司2020年接地电阻测试仪购置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接地电阻表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0.299902</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415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0300064066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国网青海海南供电公司2020年接地电阻测试仪购</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接地电阻表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0.600000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416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0300063367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国网青海海南供电公司2020年线路避雷器带电测试仪购置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避雷器阻性电流检测仪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28.000000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417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0300063938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国网青海海西供电公司2020年接地电阻测试仪购置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接地电阻表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1.949999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418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0300063938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国网青海海西供电公司公司2020年接地电阻测试仪（兆欧电阻表）购置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接地电阻表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419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0300063777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国网青海黄化供电公司2020年接地电阻测试仪购置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接地电阻表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0.294930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420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0300063906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青海省电力公司本部</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国网青海省电力公司建设部2020年接地电阻测试仪购置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接地电阻表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421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0300063896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国网青海西宁供电公司2020年接地电阻测试仪购置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接地电阻表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0.599998</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422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0300064386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国网青海玉树供电公司2020年接地电阻测试仪购置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接地电阻表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423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0300063619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青海电力科学试验研究院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国网青海电科院2020年变压器铁心接地电流测试仪购置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变压器参数测试仪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424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0300063933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青海电力科学试验研究院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国网青海电科院2020年中型变压器直流电阻测试仪购置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变压器直流电阻测试仪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425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0300063991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国网青海西宁供电公司2020年变压器变比测试仪购置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变压器变比测试仪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426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0300063932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青海电力科学试验研究院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国网青海电科院2020年绕组变形测试仪购置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变压器绕组变形测试仪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427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0300064489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国网青海果洛供电公司2020年配电线路五合一超声巡检仪购置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故障检测仪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428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0300063322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国网青海海北供电公司2020年配电线路五合一超声巡检仪购置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故障检测仪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29.999918</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429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0300063888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国网青海海东供电公司2020年配电线路五合一超声巡检仪购置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故障检测仪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430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0300063382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国网青海海南供电公司2020年配电线路五合一超声巡检仪购置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故障检测仪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431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0300063516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国网青海海西供电公司2020年配电线路五合一超声巡检仪购置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故障测试仪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432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0300063344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国网青海黄化供电公司2020年配电线路五合一超声巡检仪购置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故障检测仪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433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0300063987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国网青海西宁供电公司2020年配电线路五合一超声巡检仪购置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故障检测仪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434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0300063547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国网青海玉树供电公司2020年配电线路五合一超声巡检仪购置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故障检测仪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435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0300063931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青海电力科学试验研究院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国网青海电科院2020年变压器重症监护装置购置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故障检测仪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150.000000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436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0500268522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青海电力科学试验研究院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国网青海电科院2020年能源互联网电能计量技术监督能力建设与提升（智能电能表、采</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故障检测仪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39.999966</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437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0300063884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国网青海海东供电公司2020年绝缘油耐压测试仪购置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油耐压测试仪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438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0300063992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国网青海西宁供电公司2020年变压器油介损测试仪购置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油介损测试仪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8.500000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439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0300063990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国网青海西宁供电公司2020年变压器油闪点测试仪购置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闪点仪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440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0300063934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青海电力科学试验研究院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国网青海电科院2020年中型直流高压发生器购置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直流高压发生器</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9.000000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441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0300063882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国网青海海东供电公司2020年全自动电容量测试仪购置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电容电感测试仪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442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0300063370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国网青海黄化供电公司2020年交流耐压成套装置购置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高压断路器断口耐压试验装置</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443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0300063883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国网青海海东供电公司2020年精密露点仪购置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露点仪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444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0300063366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国网青海海南供电公司2020年SF6纯度、湿度、分解产物一体机购置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SF6气体综合测试仪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445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0300063842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国网青海省检修公司2020年总部资产SF6气体综合测试仪购置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SF6气体综合测试仪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59.999998</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446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0300063781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青海电力科学试验研究院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国网青海电科院2020年便携式变压器油中溶解气体分析仪购置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变压器油含气量测试仪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447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0300064486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国网青海果洛供电公司2020年便携式变压器油中溶解气体分析仪购置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变压器油含气量测试仪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448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0300063325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国网青海海北供电公司2020年便携式变压器油中溶解气体分析仪购置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变压器油含气量测试仪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34.999999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449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0300063886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国网青海海东供电公司2020年便携式变压器油中溶解气体分析仪购置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变压器油含气量测试仪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450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0300063380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国网青海海南供电公司2020年便携式变压器油中溶解气体分析仪购置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变压器油含气量测试仪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451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0300063530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国网青海海西供电公司2020年便携式变压器油中溶解气体分析仪购置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变压器油含气量测试仪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452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0300063349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国网青海黄化供电公司2020年便携式变压器油中溶解气体分析仪购置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变压器油含气量测试仪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453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0300063840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国网青海检修公司2020年便携式变压器油中溶解气体分析仪购置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变压器油含气量测试仪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454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0300064003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国网青海西宁供电公司2020年便携式变压器油中溶解气体分析仪购置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变压器油含气量测试仪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455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0300063545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国网青海玉树供电公司2020年便携式变压器油中溶解气体分析仪购置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变压器油含气量测试仪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456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0300064485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国网青海果洛供电公司2020年等值盐密灰密成套测量装置购置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盐密测试仪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13.800000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457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0300063320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国网青海海北供电公司2020年等值盐密灰密成套测量装置购置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盐密测试仪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13.800000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458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0300063885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国网青海海东供电公司2020年等值盐密灰密成套测量装置购置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盐密测试仪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13.800000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459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0300063369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国网青海海南供电公司2020年等值盐密灰密成套测量装置购置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盐密测试仪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13.800000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460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0300063514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国网青海海西供电公司2020年等值盐密灰密成套测量装置购置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盐密测试仪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13.800000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461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0300063342</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国网青海黄化供电公司2020年等值盐密灰密成套测量装置购置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盐密测试仪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13.800000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462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0300063430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国网青海检修公司2020年等值盐密灰密成套测量装置购置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盐密测试仪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27.600000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463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0300063985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国网青海西宁供电公司2020年等值盐密灰密成套测量装置购置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盐密测试仪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13.800000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464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0300063544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国网青海玉树供电公司2020年等值盐密灰密成套测量装置购置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盐密测试仪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13.800000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465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0300064488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国网青海果洛供电公司2020年电缆路径探测仪购置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地下管线探测仪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466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0300064004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国网青海西宁供电公司2020年电缆路径探测仪购置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地下管线探测仪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467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0300064484</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国网青海果洛供电公司2020年合金分析仪购置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合金分析仪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468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0300063993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国网青海西宁供电公司2020年农配网合金分析仪购置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合金分析仪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469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0300063543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国网青海玉树供电公司2020年合金分析仪购置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合金分析仪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470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0300063813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青海省电力公司果洛供电公司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国网青海果洛供电公司2020年钢筋探测仪购置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混凝土钢筋检测仪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3.367400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471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0300063861</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国网青海海北供电公司2020年钢筋探测仪购置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混凝土钢筋检测仪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3.369999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472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0300063327</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国网青海海北供电公司2020年混凝土超声波无损检测仪购置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混凝土钢筋检测仪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5.999996</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473</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0300064246</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青海省电力公司海东供电公司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国网青海海东供电公司2020年钢筋探测仪购置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混凝土钢筋检测仪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3.369999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474</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0300064069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国网青海海南供电公司2020年钢筋探测仪购置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混凝土钢筋检测仪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6.739998</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475</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0300063938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20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青海省电力公司海西供电公司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国网青海海西供电公司2020年钢筋探测仪购置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混凝土钢筋检测仪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3.369999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476</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0300063810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青海省电力公司黄化供电公司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国网青海黄化供电公司2020年钢筋探测仪购置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混凝土钢筋检测仪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3.313047</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477</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0300063909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青海省电力公司本部</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国网青海省电力公司建设部2020年钢筋探测仪购置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混凝土钢筋检测仪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3.369999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478</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0300063899</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青海省电力公司西宁供电公司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国网青海西宁供电公司2020年钢筋探测仪购置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混凝土钢筋检测仪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3.369999</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479</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0300064388</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青海省电力公司玉树供电公司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国网青海玉树供电公司2020年钢筋探测仪购置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混凝土钢筋检测仪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3.370000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480</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0300063843</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青海电力科学试验研究院</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国网青海电科院2020年内窥镜购置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内窥镜</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个</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85.000000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481</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0300063365</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青海省电力公司海南供电公司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国网青海海南供电公司2020年X射线金属探伤仪购置</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探伤仪</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台</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70.000000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4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482</w:t>
            </w:r>
          </w:p>
        </w:tc>
        <w:tc>
          <w:tcPr>
            <w:tcW w:w="9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0200692180</w:t>
            </w: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10</w:t>
            </w:r>
          </w:p>
        </w:tc>
        <w:tc>
          <w:tcPr>
            <w:tcW w:w="2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青海电力公司检修公司</w:t>
            </w:r>
          </w:p>
        </w:tc>
        <w:tc>
          <w:tcPr>
            <w:tcW w:w="4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海南换流站工程</w:t>
            </w:r>
          </w:p>
        </w:tc>
        <w:tc>
          <w:tcPr>
            <w:tcW w:w="30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仓储成套设备</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套</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141.592920</w:t>
            </w:r>
          </w:p>
        </w:tc>
        <w:tc>
          <w:tcPr>
            <w:tcW w:w="8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right"/>
              <w:rPr>
                <w:rFonts w:hint="eastAsia" w:asciiTheme="minorEastAsia" w:hAnsiTheme="minorEastAsia" w:eastAsiaTheme="minorEastAsia" w:cstheme="minorEastAsia"/>
                <w:i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14685"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483.WZ-282002-070包1国网青海检修公司330kV月石Ⅱ线智慧输电线路建设线路在线监测装置等按包限价，最高投标限价为：791.7159万元（含税）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14685"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484.WZ-282002-087包1通信单元按包限价，最高投标限价为：865.928203万元（含税）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14685"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485.WZ-282002-087包2通信单元按包限价，最高投标限价为：903.058457万元（含税）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14685"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486.WZ-282002-087包3通信单元按包限价，最高投标限价为：938.089162万元（含税）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14685"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487.WZ-282002-087包4通信单元按包限价，最高投标限价为：791.909898万元（含税）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14685"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488.WZ-282002-088包1通信单元按包限价，最高投标限价为：497.360383万元（含税）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14685"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489.WZ-282002-089包1通信单元按包限价，最高投标限价为：218.937785万元（含税）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97" w:hRule="atLeast"/>
          <w:tblHeader/>
          <w:jc w:val="center"/>
        </w:trPr>
        <w:tc>
          <w:tcPr>
            <w:tcW w:w="14685"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489.WZ-282002-090包1通信单元按包限价，最高投标限价为：264.752711万元（含税）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7" w:hRule="atLeast"/>
          <w:tblHeader/>
          <w:jc w:val="center"/>
        </w:trPr>
        <w:tc>
          <w:tcPr>
            <w:tcW w:w="14685"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color w:val="auto"/>
                <w:sz w:val="15"/>
                <w:szCs w:val="15"/>
                <w:highlight w:val="none"/>
                <w:u w:val="none"/>
              </w:rPr>
            </w:pPr>
            <w:r>
              <w:rPr>
                <w:rFonts w:hint="eastAsia" w:asciiTheme="minorEastAsia" w:hAnsiTheme="minorEastAsia" w:eastAsiaTheme="minorEastAsia" w:cstheme="minorEastAsia"/>
                <w:i w:val="0"/>
                <w:color w:val="auto"/>
                <w:kern w:val="0"/>
                <w:sz w:val="15"/>
                <w:szCs w:val="15"/>
                <w:highlight w:val="none"/>
                <w:u w:val="none"/>
                <w:lang w:val="en-US" w:eastAsia="zh-CN" w:bidi="ar"/>
              </w:rPr>
              <w:t>489.WZ-282002-091包1通信单元按包限价，最高投标限价为：230.744139万元（含税）</w:t>
            </w:r>
          </w:p>
        </w:tc>
      </w:tr>
    </w:tbl>
    <w:p>
      <w:pPr>
        <w:rPr>
          <w:b/>
          <w:color w:val="auto"/>
          <w:highlight w:val="none"/>
        </w:rPr>
      </w:pPr>
    </w:p>
    <w:p>
      <w:pPr>
        <w:rPr>
          <w:color w:val="auto"/>
          <w:highlight w:val="none"/>
        </w:rPr>
        <w:sectPr>
          <w:pgSz w:w="15840" w:h="12240" w:orient="landscape"/>
          <w:pgMar w:top="1134" w:right="1418" w:bottom="1134" w:left="1134" w:header="0" w:footer="0" w:gutter="0"/>
          <w:cols w:space="720" w:num="1"/>
          <w:docGrid w:type="lines" w:linePitch="312" w:charSpace="0"/>
        </w:sectPr>
      </w:pPr>
    </w:p>
    <w:p>
      <w:pPr>
        <w:rPr>
          <w:color w:val="auto"/>
          <w:highlight w:val="none"/>
        </w:rPr>
      </w:pPr>
      <w:r>
        <w:rPr>
          <w:color w:val="auto"/>
          <w:highlight w:val="none"/>
        </w:rPr>
        <w:t>附件</w:t>
      </w:r>
      <w:r>
        <w:rPr>
          <w:rFonts w:hint="eastAsia"/>
          <w:color w:val="auto"/>
          <w:highlight w:val="none"/>
        </w:rPr>
        <w:t>3：</w:t>
      </w:r>
      <w:r>
        <w:rPr>
          <w:rFonts w:eastAsia="黑体"/>
          <w:b/>
          <w:color w:val="auto"/>
          <w:sz w:val="24"/>
          <w:highlight w:val="none"/>
        </w:rPr>
        <w:t>招标人、招标代理机构及投标人关于招标代理服务费的三方约定</w:t>
      </w:r>
    </w:p>
    <w:p>
      <w:pPr>
        <w:ind w:firstLine="560" w:firstLineChars="200"/>
        <w:rPr>
          <w:color w:val="auto"/>
          <w:sz w:val="28"/>
          <w:szCs w:val="28"/>
          <w:highlight w:val="none"/>
        </w:rPr>
      </w:pPr>
    </w:p>
    <w:p>
      <w:pPr>
        <w:autoSpaceDE w:val="0"/>
        <w:autoSpaceDN w:val="0"/>
        <w:adjustRightInd w:val="0"/>
        <w:snapToGrid w:val="0"/>
        <w:rPr>
          <w:rFonts w:ascii="黑体" w:eastAsia="黑体"/>
          <w:b/>
          <w:color w:val="auto"/>
          <w:sz w:val="24"/>
          <w:highlight w:val="none"/>
        </w:rPr>
      </w:pPr>
      <w:r>
        <w:rPr>
          <w:rFonts w:hint="eastAsia" w:ascii="黑体" w:eastAsia="黑体"/>
          <w:b/>
          <w:color w:val="auto"/>
          <w:sz w:val="24"/>
          <w:highlight w:val="none"/>
        </w:rPr>
        <w:t>招标人、招标代理机构与投标人三方约定</w:t>
      </w:r>
    </w:p>
    <w:p>
      <w:pPr>
        <w:pStyle w:val="188"/>
        <w:spacing w:line="400" w:lineRule="exact"/>
        <w:ind w:firstLine="480" w:firstLineChars="200"/>
        <w:rPr>
          <w:rFonts w:ascii="宋体" w:hAnsi="宋体"/>
          <w:b/>
          <w:bCs/>
          <w:color w:val="auto"/>
          <w:sz w:val="24"/>
          <w:szCs w:val="24"/>
          <w:highlight w:val="none"/>
          <w:lang w:eastAsia="zh-CN"/>
        </w:rPr>
      </w:pPr>
      <w:r>
        <w:rPr>
          <w:rFonts w:hint="eastAsia" w:ascii="宋体" w:hAnsi="宋体"/>
          <w:color w:val="auto"/>
          <w:sz w:val="24"/>
          <w:szCs w:val="24"/>
          <w:highlight w:val="none"/>
        </w:rPr>
        <w:t>▲要求为原件由</w:t>
      </w:r>
      <w:r>
        <w:rPr>
          <w:rFonts w:hint="eastAsia" w:ascii="宋体" w:hAnsi="宋体"/>
          <w:color w:val="auto"/>
          <w:sz w:val="24"/>
          <w:szCs w:val="24"/>
          <w:highlight w:val="none"/>
          <w:lang w:eastAsia="zh-CN"/>
        </w:rPr>
        <w:t>法定代表人或其委托代理人</w:t>
      </w:r>
      <w:r>
        <w:rPr>
          <w:rFonts w:hint="eastAsia" w:ascii="宋体" w:hAnsi="宋体"/>
          <w:color w:val="auto"/>
          <w:sz w:val="24"/>
          <w:szCs w:val="24"/>
          <w:highlight w:val="none"/>
        </w:rPr>
        <w:t>签字</w:t>
      </w:r>
      <w:r>
        <w:rPr>
          <w:rFonts w:hint="eastAsia" w:ascii="宋体" w:hAnsi="宋体"/>
          <w:color w:val="auto"/>
          <w:sz w:val="24"/>
          <w:szCs w:val="24"/>
          <w:highlight w:val="none"/>
          <w:lang w:eastAsia="zh-CN"/>
        </w:rPr>
        <w:t>、</w:t>
      </w:r>
      <w:r>
        <w:rPr>
          <w:rFonts w:hint="eastAsia" w:ascii="宋体" w:hAnsi="宋体"/>
          <w:color w:val="auto"/>
          <w:sz w:val="24"/>
          <w:szCs w:val="24"/>
          <w:highlight w:val="none"/>
        </w:rPr>
        <w:t>加盖单位公章后，附在商务投标文件中。</w:t>
      </w:r>
    </w:p>
    <w:tbl>
      <w:tblPr>
        <w:tblStyle w:val="95"/>
        <w:tblW w:w="82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69" w:type="dxa"/>
          </w:tcPr>
          <w:p>
            <w:pPr>
              <w:pStyle w:val="213"/>
              <w:spacing w:line="360" w:lineRule="auto"/>
              <w:rPr>
                <w:rFonts w:ascii="宋体" w:hAnsi="宋体"/>
                <w:b/>
                <w:bCs/>
                <w:color w:val="auto"/>
                <w:sz w:val="28"/>
                <w:szCs w:val="36"/>
                <w:highlight w:val="none"/>
              </w:rPr>
            </w:pPr>
          </w:p>
          <w:p>
            <w:pPr>
              <w:pStyle w:val="213"/>
              <w:spacing w:line="360" w:lineRule="auto"/>
              <w:jc w:val="center"/>
              <w:rPr>
                <w:rFonts w:ascii="宋体" w:hAnsi="宋体"/>
                <w:b/>
                <w:color w:val="auto"/>
                <w:sz w:val="36"/>
                <w:szCs w:val="36"/>
                <w:highlight w:val="none"/>
              </w:rPr>
            </w:pPr>
            <w:r>
              <w:rPr>
                <w:rFonts w:hint="eastAsia" w:ascii="宋体" w:hAnsi="宋体"/>
                <w:b/>
                <w:bCs/>
                <w:color w:val="auto"/>
                <w:sz w:val="24"/>
                <w:szCs w:val="36"/>
                <w:highlight w:val="none"/>
              </w:rPr>
              <w:t>招标人、招标代理机构与投标人三方约定</w:t>
            </w:r>
          </w:p>
          <w:p>
            <w:pPr>
              <w:pStyle w:val="213"/>
              <w:rPr>
                <w:rFonts w:ascii="宋体" w:hAnsi="宋体"/>
                <w:color w:val="auto"/>
                <w:szCs w:val="28"/>
                <w:highlight w:val="none"/>
              </w:rPr>
            </w:pPr>
          </w:p>
          <w:p>
            <w:pPr>
              <w:pStyle w:val="213"/>
              <w:rPr>
                <w:rFonts w:ascii="宋体" w:hAnsi="宋体"/>
                <w:color w:val="auto"/>
                <w:szCs w:val="28"/>
                <w:highlight w:val="none"/>
              </w:rPr>
            </w:pPr>
          </w:p>
          <w:p>
            <w:pPr>
              <w:pStyle w:val="213"/>
              <w:rPr>
                <w:rFonts w:ascii="宋体" w:hAnsi="宋体"/>
                <w:color w:val="auto"/>
                <w:szCs w:val="28"/>
                <w:highlight w:val="none"/>
              </w:rPr>
            </w:pPr>
          </w:p>
          <w:p>
            <w:pPr>
              <w:pStyle w:val="212"/>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212"/>
              <w:spacing w:line="360" w:lineRule="auto"/>
              <w:rPr>
                <w:rFonts w:ascii="宋体" w:hAnsi="宋体"/>
                <w:color w:val="auto"/>
                <w:kern w:val="2"/>
                <w:sz w:val="24"/>
                <w:szCs w:val="24"/>
                <w:highlight w:val="none"/>
              </w:rPr>
            </w:pPr>
            <w:r>
              <w:rPr>
                <w:rFonts w:hint="eastAsia" w:ascii="宋体" w:hAnsi="宋体"/>
                <w:color w:val="auto"/>
                <w:sz w:val="24"/>
                <w:szCs w:val="24"/>
                <w:highlight w:val="none"/>
              </w:rPr>
              <w:t>法定代表人或其委托代理人签字</w:t>
            </w:r>
            <w:r>
              <w:rPr>
                <w:rFonts w:hint="eastAsia" w:ascii="宋体" w:hAnsi="宋体"/>
                <w:color w:val="auto"/>
                <w:kern w:val="2"/>
                <w:sz w:val="24"/>
                <w:szCs w:val="24"/>
                <w:highlight w:val="none"/>
              </w:rPr>
              <w:t>：</w:t>
            </w:r>
          </w:p>
          <w:p>
            <w:pPr>
              <w:pStyle w:val="212"/>
              <w:spacing w:line="360" w:lineRule="auto"/>
              <w:rPr>
                <w:rFonts w:ascii="宋体" w:hAnsi="宋体"/>
                <w:color w:val="auto"/>
                <w:kern w:val="2"/>
                <w:sz w:val="24"/>
                <w:szCs w:val="24"/>
                <w:highlight w:val="none"/>
              </w:rPr>
            </w:pPr>
          </w:p>
          <w:p>
            <w:pPr>
              <w:pStyle w:val="212"/>
              <w:spacing w:line="360" w:lineRule="auto"/>
              <w:rPr>
                <w:rFonts w:ascii="宋体" w:hAnsi="宋体"/>
                <w:color w:val="auto"/>
                <w:kern w:val="2"/>
                <w:sz w:val="24"/>
                <w:szCs w:val="24"/>
                <w:highlight w:val="none"/>
              </w:rPr>
            </w:pPr>
          </w:p>
          <w:p>
            <w:pPr>
              <w:pStyle w:val="212"/>
              <w:spacing w:line="360" w:lineRule="auto"/>
              <w:rPr>
                <w:rFonts w:ascii="宋体" w:hAnsi="宋体"/>
                <w:color w:val="auto"/>
                <w:kern w:val="2"/>
                <w:sz w:val="24"/>
                <w:szCs w:val="24"/>
                <w:highlight w:val="none"/>
              </w:rPr>
            </w:pPr>
            <w:r>
              <w:rPr>
                <w:rFonts w:hint="eastAsia" w:ascii="宋体" w:hAnsi="宋体"/>
                <w:color w:val="auto"/>
                <w:kern w:val="2"/>
                <w:sz w:val="24"/>
                <w:szCs w:val="24"/>
                <w:highlight w:val="none"/>
              </w:rPr>
              <w:t xml:space="preserve">                            投标人（公章）：</w:t>
            </w:r>
          </w:p>
          <w:p>
            <w:pPr>
              <w:pStyle w:val="213"/>
              <w:ind w:firstLine="5520" w:firstLineChars="2300"/>
              <w:rPr>
                <w:rFonts w:ascii="宋体" w:hAnsi="宋体"/>
                <w:b/>
                <w:color w:val="auto"/>
                <w:szCs w:val="28"/>
                <w:highlight w:val="none"/>
              </w:rPr>
            </w:pPr>
            <w:r>
              <w:rPr>
                <w:rFonts w:hint="eastAsia" w:ascii="宋体" w:hAnsi="宋体"/>
                <w:color w:val="auto"/>
                <w:sz w:val="24"/>
                <w:highlight w:val="none"/>
              </w:rPr>
              <w:t>年   月   日</w:t>
            </w:r>
          </w:p>
        </w:tc>
      </w:tr>
    </w:tbl>
    <w:p>
      <w:pPr>
        <w:tabs>
          <w:tab w:val="left" w:pos="1901"/>
        </w:tabs>
        <w:rPr>
          <w:color w:val="auto"/>
          <w:highlight w:val="none"/>
        </w:rPr>
      </w:pPr>
      <w:r>
        <w:rPr>
          <w:rFonts w:hint="eastAsia"/>
          <w:color w:val="auto"/>
          <w:highlight w:val="none"/>
        </w:rPr>
        <w:tab/>
      </w:r>
    </w:p>
    <w:p>
      <w:pPr>
        <w:rPr>
          <w:color w:val="auto"/>
          <w:highlight w:val="none"/>
        </w:rPr>
      </w:pPr>
    </w:p>
    <w:p>
      <w:pPr>
        <w:rPr>
          <w:color w:val="auto"/>
          <w:highlight w:val="none"/>
        </w:rPr>
      </w:pPr>
    </w:p>
    <w:p>
      <w:pPr>
        <w:rPr>
          <w:color w:val="auto"/>
          <w:highlight w:val="none"/>
        </w:rPr>
      </w:pPr>
    </w:p>
    <w:p>
      <w:pPr>
        <w:rPr>
          <w:color w:val="auto"/>
          <w:highlight w:val="none"/>
        </w:rPr>
      </w:pPr>
    </w:p>
    <w:sectPr>
      <w:pgSz w:w="12240" w:h="15840"/>
      <w:pgMar w:top="1418" w:right="1134" w:bottom="1134" w:left="1134" w:header="0" w:footer="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EU-F1">
    <w:altName w:val="宋体"/>
    <w:panose1 w:val="00000000000000000000"/>
    <w:charset w:val="86"/>
    <w:family w:val="auto"/>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Plotter">
    <w:altName w:val="Times New Roman"/>
    <w:panose1 w:val="00000000000000000000"/>
    <w:charset w:val="00"/>
    <w:family w:val="roman"/>
    <w:pitch w:val="default"/>
    <w:sig w:usb0="00000000" w:usb1="00000000" w:usb2="00000000" w:usb3="00000000" w:csb0="00000001" w:csb1="00000000"/>
  </w:font>
  <w:font w:name="华文新魏">
    <w:panose1 w:val="02010800040101010101"/>
    <w:charset w:val="86"/>
    <w:family w:val="auto"/>
    <w:pitch w:val="default"/>
    <w:sig w:usb0="00000001" w:usb1="080F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6FF419"/>
    <w:multiLevelType w:val="singleLevel"/>
    <w:tmpl w:val="506FF419"/>
    <w:lvl w:ilvl="0" w:tentative="0">
      <w:start w:val="10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B7C"/>
    <w:rsid w:val="00006455"/>
    <w:rsid w:val="00007C88"/>
    <w:rsid w:val="0001118D"/>
    <w:rsid w:val="00016EDC"/>
    <w:rsid w:val="00020521"/>
    <w:rsid w:val="00021D2E"/>
    <w:rsid w:val="00024CF8"/>
    <w:rsid w:val="00037876"/>
    <w:rsid w:val="00043501"/>
    <w:rsid w:val="0004355F"/>
    <w:rsid w:val="00055177"/>
    <w:rsid w:val="00067C1E"/>
    <w:rsid w:val="00070801"/>
    <w:rsid w:val="00076F4F"/>
    <w:rsid w:val="0007741A"/>
    <w:rsid w:val="00080944"/>
    <w:rsid w:val="00081B96"/>
    <w:rsid w:val="00095641"/>
    <w:rsid w:val="00097AB5"/>
    <w:rsid w:val="000A0DD4"/>
    <w:rsid w:val="000A1593"/>
    <w:rsid w:val="000A5EFC"/>
    <w:rsid w:val="000B239D"/>
    <w:rsid w:val="000B281A"/>
    <w:rsid w:val="000B54B9"/>
    <w:rsid w:val="000C009F"/>
    <w:rsid w:val="000C0EF5"/>
    <w:rsid w:val="000D2115"/>
    <w:rsid w:val="000D4C8D"/>
    <w:rsid w:val="000E13CC"/>
    <w:rsid w:val="000E3AB7"/>
    <w:rsid w:val="000E42DA"/>
    <w:rsid w:val="000F6E94"/>
    <w:rsid w:val="000F783F"/>
    <w:rsid w:val="00100BB0"/>
    <w:rsid w:val="001025DB"/>
    <w:rsid w:val="00106A4E"/>
    <w:rsid w:val="001129CE"/>
    <w:rsid w:val="00113D22"/>
    <w:rsid w:val="00115E3F"/>
    <w:rsid w:val="00134983"/>
    <w:rsid w:val="00134DB1"/>
    <w:rsid w:val="0013669A"/>
    <w:rsid w:val="00136AC0"/>
    <w:rsid w:val="00146E03"/>
    <w:rsid w:val="00150218"/>
    <w:rsid w:val="00153CD3"/>
    <w:rsid w:val="00160599"/>
    <w:rsid w:val="00160ACF"/>
    <w:rsid w:val="001631C9"/>
    <w:rsid w:val="00163FE4"/>
    <w:rsid w:val="00164C86"/>
    <w:rsid w:val="00171A71"/>
    <w:rsid w:val="00172B77"/>
    <w:rsid w:val="00190A1A"/>
    <w:rsid w:val="0019447D"/>
    <w:rsid w:val="0019773F"/>
    <w:rsid w:val="001A4A17"/>
    <w:rsid w:val="001B0605"/>
    <w:rsid w:val="001B14A0"/>
    <w:rsid w:val="001B38A2"/>
    <w:rsid w:val="001B5700"/>
    <w:rsid w:val="001B5838"/>
    <w:rsid w:val="001B7DFC"/>
    <w:rsid w:val="001C1A20"/>
    <w:rsid w:val="001C7646"/>
    <w:rsid w:val="001D70A4"/>
    <w:rsid w:val="001E21CC"/>
    <w:rsid w:val="001E3005"/>
    <w:rsid w:val="001E47FE"/>
    <w:rsid w:val="001E50F0"/>
    <w:rsid w:val="001F2F26"/>
    <w:rsid w:val="001F61E9"/>
    <w:rsid w:val="00203EB4"/>
    <w:rsid w:val="002114B6"/>
    <w:rsid w:val="00221505"/>
    <w:rsid w:val="0022184E"/>
    <w:rsid w:val="00227914"/>
    <w:rsid w:val="00227BCA"/>
    <w:rsid w:val="00233AB6"/>
    <w:rsid w:val="00234B26"/>
    <w:rsid w:val="002500C9"/>
    <w:rsid w:val="002516C8"/>
    <w:rsid w:val="00255D81"/>
    <w:rsid w:val="00263821"/>
    <w:rsid w:val="0027134F"/>
    <w:rsid w:val="0028252D"/>
    <w:rsid w:val="0029066F"/>
    <w:rsid w:val="00291A10"/>
    <w:rsid w:val="002926CE"/>
    <w:rsid w:val="00294809"/>
    <w:rsid w:val="00295E61"/>
    <w:rsid w:val="002A4E05"/>
    <w:rsid w:val="002A5340"/>
    <w:rsid w:val="002A5F5A"/>
    <w:rsid w:val="002B219F"/>
    <w:rsid w:val="002B6263"/>
    <w:rsid w:val="002B7D41"/>
    <w:rsid w:val="002D253D"/>
    <w:rsid w:val="002D4762"/>
    <w:rsid w:val="002D5B70"/>
    <w:rsid w:val="002E5E00"/>
    <w:rsid w:val="002F16EA"/>
    <w:rsid w:val="002F5607"/>
    <w:rsid w:val="002F7D02"/>
    <w:rsid w:val="00312BDF"/>
    <w:rsid w:val="0031595C"/>
    <w:rsid w:val="00317F1F"/>
    <w:rsid w:val="0033174B"/>
    <w:rsid w:val="00336D72"/>
    <w:rsid w:val="003403CE"/>
    <w:rsid w:val="00344F85"/>
    <w:rsid w:val="003464CB"/>
    <w:rsid w:val="00353DA1"/>
    <w:rsid w:val="003566A5"/>
    <w:rsid w:val="0036349C"/>
    <w:rsid w:val="00363508"/>
    <w:rsid w:val="0036747C"/>
    <w:rsid w:val="00371B43"/>
    <w:rsid w:val="003773F7"/>
    <w:rsid w:val="003820F8"/>
    <w:rsid w:val="00397224"/>
    <w:rsid w:val="003A3290"/>
    <w:rsid w:val="003B042C"/>
    <w:rsid w:val="003C2126"/>
    <w:rsid w:val="003C4EAA"/>
    <w:rsid w:val="003C523C"/>
    <w:rsid w:val="003D7AC5"/>
    <w:rsid w:val="003E4F61"/>
    <w:rsid w:val="003E5CED"/>
    <w:rsid w:val="003F16BE"/>
    <w:rsid w:val="00401B80"/>
    <w:rsid w:val="00401C4A"/>
    <w:rsid w:val="0040427B"/>
    <w:rsid w:val="00405D74"/>
    <w:rsid w:val="00406543"/>
    <w:rsid w:val="004167D1"/>
    <w:rsid w:val="00431406"/>
    <w:rsid w:val="00435563"/>
    <w:rsid w:val="0044202B"/>
    <w:rsid w:val="00444D86"/>
    <w:rsid w:val="00445D17"/>
    <w:rsid w:val="00446AD3"/>
    <w:rsid w:val="00450339"/>
    <w:rsid w:val="00456FC5"/>
    <w:rsid w:val="00463D50"/>
    <w:rsid w:val="0046670F"/>
    <w:rsid w:val="0047290F"/>
    <w:rsid w:val="00483189"/>
    <w:rsid w:val="00483282"/>
    <w:rsid w:val="00485A6D"/>
    <w:rsid w:val="0049310F"/>
    <w:rsid w:val="0049495F"/>
    <w:rsid w:val="004A130C"/>
    <w:rsid w:val="004A13CE"/>
    <w:rsid w:val="004A2219"/>
    <w:rsid w:val="004A468D"/>
    <w:rsid w:val="004A678E"/>
    <w:rsid w:val="004B13CF"/>
    <w:rsid w:val="004B4E7B"/>
    <w:rsid w:val="004C70AA"/>
    <w:rsid w:val="004E39F9"/>
    <w:rsid w:val="004E49E8"/>
    <w:rsid w:val="004F25BE"/>
    <w:rsid w:val="00502173"/>
    <w:rsid w:val="005026EC"/>
    <w:rsid w:val="00510C85"/>
    <w:rsid w:val="00513666"/>
    <w:rsid w:val="00526877"/>
    <w:rsid w:val="00527192"/>
    <w:rsid w:val="005335B5"/>
    <w:rsid w:val="00547E3F"/>
    <w:rsid w:val="005505E1"/>
    <w:rsid w:val="00552B0B"/>
    <w:rsid w:val="005558F8"/>
    <w:rsid w:val="00564810"/>
    <w:rsid w:val="00564AEE"/>
    <w:rsid w:val="005706A6"/>
    <w:rsid w:val="005716A0"/>
    <w:rsid w:val="00571EBC"/>
    <w:rsid w:val="00572983"/>
    <w:rsid w:val="005932B4"/>
    <w:rsid w:val="005B5686"/>
    <w:rsid w:val="005B7A28"/>
    <w:rsid w:val="005D1CBF"/>
    <w:rsid w:val="005D3486"/>
    <w:rsid w:val="005D7C09"/>
    <w:rsid w:val="005E5CC3"/>
    <w:rsid w:val="005E7417"/>
    <w:rsid w:val="005F589D"/>
    <w:rsid w:val="00600321"/>
    <w:rsid w:val="00610943"/>
    <w:rsid w:val="006138F2"/>
    <w:rsid w:val="00622B55"/>
    <w:rsid w:val="006256AB"/>
    <w:rsid w:val="00626222"/>
    <w:rsid w:val="00641F8A"/>
    <w:rsid w:val="0065188C"/>
    <w:rsid w:val="00665FC1"/>
    <w:rsid w:val="00666F13"/>
    <w:rsid w:val="00676E6F"/>
    <w:rsid w:val="00681F7A"/>
    <w:rsid w:val="00687426"/>
    <w:rsid w:val="006927A5"/>
    <w:rsid w:val="00693836"/>
    <w:rsid w:val="006A5895"/>
    <w:rsid w:val="006B14B7"/>
    <w:rsid w:val="006B62BE"/>
    <w:rsid w:val="006C030B"/>
    <w:rsid w:val="006C0C54"/>
    <w:rsid w:val="006C379F"/>
    <w:rsid w:val="006D1AEC"/>
    <w:rsid w:val="006D3224"/>
    <w:rsid w:val="006D3E75"/>
    <w:rsid w:val="006D4E58"/>
    <w:rsid w:val="006D5332"/>
    <w:rsid w:val="006E3686"/>
    <w:rsid w:val="006E3B32"/>
    <w:rsid w:val="006F128E"/>
    <w:rsid w:val="006F2A65"/>
    <w:rsid w:val="006F7986"/>
    <w:rsid w:val="00701024"/>
    <w:rsid w:val="00716B75"/>
    <w:rsid w:val="00720ADE"/>
    <w:rsid w:val="00736973"/>
    <w:rsid w:val="00740D4C"/>
    <w:rsid w:val="00743C6F"/>
    <w:rsid w:val="0075180E"/>
    <w:rsid w:val="007567E7"/>
    <w:rsid w:val="007576BB"/>
    <w:rsid w:val="00765AE6"/>
    <w:rsid w:val="00777DAD"/>
    <w:rsid w:val="007917EB"/>
    <w:rsid w:val="00796906"/>
    <w:rsid w:val="007A076D"/>
    <w:rsid w:val="007A7957"/>
    <w:rsid w:val="007B205E"/>
    <w:rsid w:val="007C3954"/>
    <w:rsid w:val="007D283F"/>
    <w:rsid w:val="007D2B6A"/>
    <w:rsid w:val="007D55E5"/>
    <w:rsid w:val="007E1976"/>
    <w:rsid w:val="007E1AEB"/>
    <w:rsid w:val="007E6D81"/>
    <w:rsid w:val="007F1188"/>
    <w:rsid w:val="007F1C0B"/>
    <w:rsid w:val="00802215"/>
    <w:rsid w:val="00802C26"/>
    <w:rsid w:val="00805A47"/>
    <w:rsid w:val="00806116"/>
    <w:rsid w:val="0081200A"/>
    <w:rsid w:val="008164F5"/>
    <w:rsid w:val="00832D00"/>
    <w:rsid w:val="0083579D"/>
    <w:rsid w:val="00840329"/>
    <w:rsid w:val="00846D03"/>
    <w:rsid w:val="0084737E"/>
    <w:rsid w:val="00876733"/>
    <w:rsid w:val="0088084B"/>
    <w:rsid w:val="008810D9"/>
    <w:rsid w:val="0088235A"/>
    <w:rsid w:val="00883571"/>
    <w:rsid w:val="00885F8A"/>
    <w:rsid w:val="00886E62"/>
    <w:rsid w:val="00887136"/>
    <w:rsid w:val="00896AA4"/>
    <w:rsid w:val="008A36D6"/>
    <w:rsid w:val="008B2FD7"/>
    <w:rsid w:val="008B3F8F"/>
    <w:rsid w:val="008C00AD"/>
    <w:rsid w:val="008C0128"/>
    <w:rsid w:val="008C3E19"/>
    <w:rsid w:val="008C6915"/>
    <w:rsid w:val="008D0ACE"/>
    <w:rsid w:val="008D1549"/>
    <w:rsid w:val="008D79A9"/>
    <w:rsid w:val="008F3CD1"/>
    <w:rsid w:val="00901B7C"/>
    <w:rsid w:val="009025C9"/>
    <w:rsid w:val="00902752"/>
    <w:rsid w:val="009027A5"/>
    <w:rsid w:val="00904DAC"/>
    <w:rsid w:val="00914475"/>
    <w:rsid w:val="00920925"/>
    <w:rsid w:val="00924080"/>
    <w:rsid w:val="00931707"/>
    <w:rsid w:val="0094551B"/>
    <w:rsid w:val="00960137"/>
    <w:rsid w:val="00964677"/>
    <w:rsid w:val="009655A4"/>
    <w:rsid w:val="00966247"/>
    <w:rsid w:val="00967792"/>
    <w:rsid w:val="00970984"/>
    <w:rsid w:val="00971BEE"/>
    <w:rsid w:val="00982AF1"/>
    <w:rsid w:val="0098453F"/>
    <w:rsid w:val="00990678"/>
    <w:rsid w:val="00990BE8"/>
    <w:rsid w:val="00995D25"/>
    <w:rsid w:val="00997BD6"/>
    <w:rsid w:val="009A4157"/>
    <w:rsid w:val="009B0046"/>
    <w:rsid w:val="009C18C4"/>
    <w:rsid w:val="009C527E"/>
    <w:rsid w:val="009C7035"/>
    <w:rsid w:val="009E65FB"/>
    <w:rsid w:val="009F719D"/>
    <w:rsid w:val="00A024BF"/>
    <w:rsid w:val="00A1653D"/>
    <w:rsid w:val="00A2559F"/>
    <w:rsid w:val="00A31466"/>
    <w:rsid w:val="00A361BB"/>
    <w:rsid w:val="00A5102A"/>
    <w:rsid w:val="00A60836"/>
    <w:rsid w:val="00A6651B"/>
    <w:rsid w:val="00A66685"/>
    <w:rsid w:val="00A714E0"/>
    <w:rsid w:val="00A7610E"/>
    <w:rsid w:val="00A8505A"/>
    <w:rsid w:val="00A900B2"/>
    <w:rsid w:val="00A929B3"/>
    <w:rsid w:val="00A946A3"/>
    <w:rsid w:val="00A95F20"/>
    <w:rsid w:val="00A9661A"/>
    <w:rsid w:val="00A96D28"/>
    <w:rsid w:val="00AB60A2"/>
    <w:rsid w:val="00AC1C45"/>
    <w:rsid w:val="00AC547C"/>
    <w:rsid w:val="00AD1EC6"/>
    <w:rsid w:val="00AE3285"/>
    <w:rsid w:val="00AF1D60"/>
    <w:rsid w:val="00AF49E4"/>
    <w:rsid w:val="00B02989"/>
    <w:rsid w:val="00B1589E"/>
    <w:rsid w:val="00B25585"/>
    <w:rsid w:val="00B2583B"/>
    <w:rsid w:val="00B30511"/>
    <w:rsid w:val="00B323BC"/>
    <w:rsid w:val="00B37E4C"/>
    <w:rsid w:val="00B40D57"/>
    <w:rsid w:val="00B40FF2"/>
    <w:rsid w:val="00B41907"/>
    <w:rsid w:val="00B42ACA"/>
    <w:rsid w:val="00B46772"/>
    <w:rsid w:val="00B54434"/>
    <w:rsid w:val="00B5600C"/>
    <w:rsid w:val="00B6219C"/>
    <w:rsid w:val="00B65EF8"/>
    <w:rsid w:val="00B72B05"/>
    <w:rsid w:val="00B84195"/>
    <w:rsid w:val="00B9519F"/>
    <w:rsid w:val="00BA372E"/>
    <w:rsid w:val="00BA789F"/>
    <w:rsid w:val="00BB576F"/>
    <w:rsid w:val="00BB737A"/>
    <w:rsid w:val="00BC1752"/>
    <w:rsid w:val="00BC4AE2"/>
    <w:rsid w:val="00BC71FF"/>
    <w:rsid w:val="00BD0CAC"/>
    <w:rsid w:val="00BD347C"/>
    <w:rsid w:val="00BD7246"/>
    <w:rsid w:val="00BE1B1F"/>
    <w:rsid w:val="00BE1FF6"/>
    <w:rsid w:val="00BE4225"/>
    <w:rsid w:val="00BE5BB1"/>
    <w:rsid w:val="00BE67B4"/>
    <w:rsid w:val="00BE69A3"/>
    <w:rsid w:val="00BF3E1B"/>
    <w:rsid w:val="00BF4C48"/>
    <w:rsid w:val="00BF60AE"/>
    <w:rsid w:val="00BF6409"/>
    <w:rsid w:val="00BF7454"/>
    <w:rsid w:val="00C018FC"/>
    <w:rsid w:val="00C0453D"/>
    <w:rsid w:val="00C04A67"/>
    <w:rsid w:val="00C0542C"/>
    <w:rsid w:val="00C05434"/>
    <w:rsid w:val="00C05482"/>
    <w:rsid w:val="00C11828"/>
    <w:rsid w:val="00C15E9F"/>
    <w:rsid w:val="00C1630B"/>
    <w:rsid w:val="00C31F0A"/>
    <w:rsid w:val="00C33DCE"/>
    <w:rsid w:val="00C42E47"/>
    <w:rsid w:val="00C546AD"/>
    <w:rsid w:val="00C56F9C"/>
    <w:rsid w:val="00C60066"/>
    <w:rsid w:val="00C608CB"/>
    <w:rsid w:val="00C6794B"/>
    <w:rsid w:val="00C71794"/>
    <w:rsid w:val="00C72C95"/>
    <w:rsid w:val="00C7406F"/>
    <w:rsid w:val="00C7593C"/>
    <w:rsid w:val="00C85D76"/>
    <w:rsid w:val="00C860D2"/>
    <w:rsid w:val="00C87AE6"/>
    <w:rsid w:val="00C923D1"/>
    <w:rsid w:val="00C95F94"/>
    <w:rsid w:val="00CA61C1"/>
    <w:rsid w:val="00CC3D9F"/>
    <w:rsid w:val="00CC4B1A"/>
    <w:rsid w:val="00CD2885"/>
    <w:rsid w:val="00CD57F0"/>
    <w:rsid w:val="00CE0CFA"/>
    <w:rsid w:val="00CE7F10"/>
    <w:rsid w:val="00CF3401"/>
    <w:rsid w:val="00CF728B"/>
    <w:rsid w:val="00D03895"/>
    <w:rsid w:val="00D10863"/>
    <w:rsid w:val="00D10B32"/>
    <w:rsid w:val="00D12107"/>
    <w:rsid w:val="00D15C08"/>
    <w:rsid w:val="00D16356"/>
    <w:rsid w:val="00D22734"/>
    <w:rsid w:val="00D26344"/>
    <w:rsid w:val="00D32B8E"/>
    <w:rsid w:val="00D40D9E"/>
    <w:rsid w:val="00D51E16"/>
    <w:rsid w:val="00D533EB"/>
    <w:rsid w:val="00D6033C"/>
    <w:rsid w:val="00D60722"/>
    <w:rsid w:val="00D705C6"/>
    <w:rsid w:val="00D70710"/>
    <w:rsid w:val="00D73E4A"/>
    <w:rsid w:val="00D77852"/>
    <w:rsid w:val="00D81EA9"/>
    <w:rsid w:val="00D83D5E"/>
    <w:rsid w:val="00D86168"/>
    <w:rsid w:val="00D87639"/>
    <w:rsid w:val="00D9129C"/>
    <w:rsid w:val="00D959C1"/>
    <w:rsid w:val="00D95C22"/>
    <w:rsid w:val="00D97F4F"/>
    <w:rsid w:val="00DB6FEF"/>
    <w:rsid w:val="00DB761A"/>
    <w:rsid w:val="00DC6564"/>
    <w:rsid w:val="00DD46FC"/>
    <w:rsid w:val="00DE3FB0"/>
    <w:rsid w:val="00DE43FA"/>
    <w:rsid w:val="00DF0BF3"/>
    <w:rsid w:val="00E00751"/>
    <w:rsid w:val="00E07930"/>
    <w:rsid w:val="00E13C9F"/>
    <w:rsid w:val="00E16EB9"/>
    <w:rsid w:val="00E248D0"/>
    <w:rsid w:val="00E321BF"/>
    <w:rsid w:val="00E330AB"/>
    <w:rsid w:val="00E375A5"/>
    <w:rsid w:val="00E4383D"/>
    <w:rsid w:val="00E547A1"/>
    <w:rsid w:val="00E60A9A"/>
    <w:rsid w:val="00E60F28"/>
    <w:rsid w:val="00E648C2"/>
    <w:rsid w:val="00E67D3F"/>
    <w:rsid w:val="00E7129C"/>
    <w:rsid w:val="00E775B5"/>
    <w:rsid w:val="00E87253"/>
    <w:rsid w:val="00E94330"/>
    <w:rsid w:val="00E95EC3"/>
    <w:rsid w:val="00EA62C2"/>
    <w:rsid w:val="00EA66BD"/>
    <w:rsid w:val="00EB3DE1"/>
    <w:rsid w:val="00EC2C93"/>
    <w:rsid w:val="00EC4D1A"/>
    <w:rsid w:val="00EC64CB"/>
    <w:rsid w:val="00EC70BD"/>
    <w:rsid w:val="00ED2298"/>
    <w:rsid w:val="00ED411B"/>
    <w:rsid w:val="00EE668E"/>
    <w:rsid w:val="00EF0BC5"/>
    <w:rsid w:val="00EF7EA0"/>
    <w:rsid w:val="00F03435"/>
    <w:rsid w:val="00F10A57"/>
    <w:rsid w:val="00F13DD2"/>
    <w:rsid w:val="00F23C56"/>
    <w:rsid w:val="00F253FA"/>
    <w:rsid w:val="00F3324D"/>
    <w:rsid w:val="00F41439"/>
    <w:rsid w:val="00F41BBD"/>
    <w:rsid w:val="00F42979"/>
    <w:rsid w:val="00F43051"/>
    <w:rsid w:val="00F43E70"/>
    <w:rsid w:val="00F4424A"/>
    <w:rsid w:val="00F5298E"/>
    <w:rsid w:val="00F52F7D"/>
    <w:rsid w:val="00F56BA7"/>
    <w:rsid w:val="00F73CB6"/>
    <w:rsid w:val="00F7790E"/>
    <w:rsid w:val="00F77FF7"/>
    <w:rsid w:val="00F867FF"/>
    <w:rsid w:val="00F9152F"/>
    <w:rsid w:val="00F94147"/>
    <w:rsid w:val="00F941BC"/>
    <w:rsid w:val="00F9521A"/>
    <w:rsid w:val="00F957BF"/>
    <w:rsid w:val="00FA03B9"/>
    <w:rsid w:val="00FC0753"/>
    <w:rsid w:val="00FD49BB"/>
    <w:rsid w:val="00FE1A09"/>
    <w:rsid w:val="00FE78D1"/>
    <w:rsid w:val="00FF049D"/>
    <w:rsid w:val="00FF20FA"/>
    <w:rsid w:val="00FF6F01"/>
    <w:rsid w:val="014F1900"/>
    <w:rsid w:val="02C72A54"/>
    <w:rsid w:val="03252D0C"/>
    <w:rsid w:val="03E90186"/>
    <w:rsid w:val="04332303"/>
    <w:rsid w:val="05782769"/>
    <w:rsid w:val="05DA5E72"/>
    <w:rsid w:val="0615392F"/>
    <w:rsid w:val="06B51587"/>
    <w:rsid w:val="06B64DC2"/>
    <w:rsid w:val="06F03FD7"/>
    <w:rsid w:val="071945C3"/>
    <w:rsid w:val="07D1692F"/>
    <w:rsid w:val="07F71AF9"/>
    <w:rsid w:val="093E70CC"/>
    <w:rsid w:val="098E50E4"/>
    <w:rsid w:val="0A6546F3"/>
    <w:rsid w:val="0AB1237A"/>
    <w:rsid w:val="0BA1308D"/>
    <w:rsid w:val="0BCD0961"/>
    <w:rsid w:val="0C772639"/>
    <w:rsid w:val="0CB231EF"/>
    <w:rsid w:val="0CD16A70"/>
    <w:rsid w:val="0D3C4E9D"/>
    <w:rsid w:val="0EBD51D0"/>
    <w:rsid w:val="0F544605"/>
    <w:rsid w:val="10802061"/>
    <w:rsid w:val="10B80FE9"/>
    <w:rsid w:val="119A4764"/>
    <w:rsid w:val="11D855A4"/>
    <w:rsid w:val="121F323F"/>
    <w:rsid w:val="13320931"/>
    <w:rsid w:val="13C54788"/>
    <w:rsid w:val="13D6188A"/>
    <w:rsid w:val="13EF1D15"/>
    <w:rsid w:val="14A92703"/>
    <w:rsid w:val="15D02C45"/>
    <w:rsid w:val="16486142"/>
    <w:rsid w:val="16543A78"/>
    <w:rsid w:val="18187FEE"/>
    <w:rsid w:val="18810377"/>
    <w:rsid w:val="18923D74"/>
    <w:rsid w:val="191C6A9A"/>
    <w:rsid w:val="19ED54DA"/>
    <w:rsid w:val="1C0C57E9"/>
    <w:rsid w:val="1D753A9A"/>
    <w:rsid w:val="1D8339A4"/>
    <w:rsid w:val="1DA03A52"/>
    <w:rsid w:val="1DCB6EB2"/>
    <w:rsid w:val="200C01CD"/>
    <w:rsid w:val="201A252C"/>
    <w:rsid w:val="209D7395"/>
    <w:rsid w:val="20E251BC"/>
    <w:rsid w:val="20F7279B"/>
    <w:rsid w:val="2129027E"/>
    <w:rsid w:val="21CF1286"/>
    <w:rsid w:val="221C4B58"/>
    <w:rsid w:val="221D766F"/>
    <w:rsid w:val="22C05DD9"/>
    <w:rsid w:val="23715EB5"/>
    <w:rsid w:val="23D36F0C"/>
    <w:rsid w:val="251A231D"/>
    <w:rsid w:val="255F5740"/>
    <w:rsid w:val="268176B9"/>
    <w:rsid w:val="26B74931"/>
    <w:rsid w:val="271D72CC"/>
    <w:rsid w:val="282946ED"/>
    <w:rsid w:val="28AD4355"/>
    <w:rsid w:val="29052F1C"/>
    <w:rsid w:val="2A6141A4"/>
    <w:rsid w:val="2C63435E"/>
    <w:rsid w:val="2CA05377"/>
    <w:rsid w:val="2CC664AC"/>
    <w:rsid w:val="2D972076"/>
    <w:rsid w:val="2DA33455"/>
    <w:rsid w:val="2DF823AB"/>
    <w:rsid w:val="2E5B632E"/>
    <w:rsid w:val="2EAE466C"/>
    <w:rsid w:val="2F1368A7"/>
    <w:rsid w:val="2F41615A"/>
    <w:rsid w:val="30BF137E"/>
    <w:rsid w:val="314A005B"/>
    <w:rsid w:val="31766E40"/>
    <w:rsid w:val="324113E5"/>
    <w:rsid w:val="32B14A4A"/>
    <w:rsid w:val="32B45836"/>
    <w:rsid w:val="32F91CA3"/>
    <w:rsid w:val="337C7664"/>
    <w:rsid w:val="33BB2132"/>
    <w:rsid w:val="34A51B4D"/>
    <w:rsid w:val="34D06ADA"/>
    <w:rsid w:val="361244A0"/>
    <w:rsid w:val="363D18CB"/>
    <w:rsid w:val="367C5CF7"/>
    <w:rsid w:val="36AE2800"/>
    <w:rsid w:val="36D5157D"/>
    <w:rsid w:val="36F22F2A"/>
    <w:rsid w:val="375F7874"/>
    <w:rsid w:val="37951305"/>
    <w:rsid w:val="37E76A3C"/>
    <w:rsid w:val="37FD0E52"/>
    <w:rsid w:val="386F42BE"/>
    <w:rsid w:val="386F7DEE"/>
    <w:rsid w:val="3A650565"/>
    <w:rsid w:val="3A7D02DA"/>
    <w:rsid w:val="3ACE4F60"/>
    <w:rsid w:val="3B277069"/>
    <w:rsid w:val="3B361C03"/>
    <w:rsid w:val="3D561A38"/>
    <w:rsid w:val="3DA95776"/>
    <w:rsid w:val="3DC20E35"/>
    <w:rsid w:val="3DD14E4A"/>
    <w:rsid w:val="406E73CF"/>
    <w:rsid w:val="41803469"/>
    <w:rsid w:val="42087170"/>
    <w:rsid w:val="424B5FFA"/>
    <w:rsid w:val="4256275D"/>
    <w:rsid w:val="428E3FFC"/>
    <w:rsid w:val="429F0113"/>
    <w:rsid w:val="42ED6270"/>
    <w:rsid w:val="433A2BE4"/>
    <w:rsid w:val="443E4946"/>
    <w:rsid w:val="4487307F"/>
    <w:rsid w:val="4539539D"/>
    <w:rsid w:val="45441EAD"/>
    <w:rsid w:val="48B33D93"/>
    <w:rsid w:val="48B44C96"/>
    <w:rsid w:val="48E13E7A"/>
    <w:rsid w:val="4966677E"/>
    <w:rsid w:val="49697212"/>
    <w:rsid w:val="49CD15B2"/>
    <w:rsid w:val="4A9928BF"/>
    <w:rsid w:val="4BC60CF9"/>
    <w:rsid w:val="4D1039DF"/>
    <w:rsid w:val="4DC30297"/>
    <w:rsid w:val="4E111675"/>
    <w:rsid w:val="4EC15076"/>
    <w:rsid w:val="4F4E42E4"/>
    <w:rsid w:val="4F9229D0"/>
    <w:rsid w:val="4FED349B"/>
    <w:rsid w:val="50542FB5"/>
    <w:rsid w:val="521B4326"/>
    <w:rsid w:val="53D707B1"/>
    <w:rsid w:val="54143D79"/>
    <w:rsid w:val="54BC4AFE"/>
    <w:rsid w:val="54CA668B"/>
    <w:rsid w:val="56276F8D"/>
    <w:rsid w:val="5690758D"/>
    <w:rsid w:val="56D31D03"/>
    <w:rsid w:val="573E6AFB"/>
    <w:rsid w:val="57F213DD"/>
    <w:rsid w:val="598F051C"/>
    <w:rsid w:val="59C773FA"/>
    <w:rsid w:val="59CE248E"/>
    <w:rsid w:val="5A0560E7"/>
    <w:rsid w:val="5A466728"/>
    <w:rsid w:val="5B7F343E"/>
    <w:rsid w:val="5BCC77E1"/>
    <w:rsid w:val="5BF804B6"/>
    <w:rsid w:val="5C5C5E00"/>
    <w:rsid w:val="5CD62524"/>
    <w:rsid w:val="5D441980"/>
    <w:rsid w:val="5D686DE1"/>
    <w:rsid w:val="5DC920F5"/>
    <w:rsid w:val="5F3A59E9"/>
    <w:rsid w:val="5F3B6ACD"/>
    <w:rsid w:val="5FD53DDB"/>
    <w:rsid w:val="60935EDF"/>
    <w:rsid w:val="61A63CCC"/>
    <w:rsid w:val="61FD04E0"/>
    <w:rsid w:val="621963A8"/>
    <w:rsid w:val="632A4E85"/>
    <w:rsid w:val="63357234"/>
    <w:rsid w:val="636E3BF8"/>
    <w:rsid w:val="642A48B2"/>
    <w:rsid w:val="6545379D"/>
    <w:rsid w:val="65882846"/>
    <w:rsid w:val="65F6287D"/>
    <w:rsid w:val="66D15760"/>
    <w:rsid w:val="67287C8B"/>
    <w:rsid w:val="67EB1093"/>
    <w:rsid w:val="6979465B"/>
    <w:rsid w:val="69D97353"/>
    <w:rsid w:val="6A26114C"/>
    <w:rsid w:val="6B753CE8"/>
    <w:rsid w:val="6C2068AD"/>
    <w:rsid w:val="6D2A33B4"/>
    <w:rsid w:val="6D402A8E"/>
    <w:rsid w:val="6D411C58"/>
    <w:rsid w:val="6E110270"/>
    <w:rsid w:val="6E7553BE"/>
    <w:rsid w:val="6E756A56"/>
    <w:rsid w:val="6E840111"/>
    <w:rsid w:val="6F3F7E71"/>
    <w:rsid w:val="6FE74354"/>
    <w:rsid w:val="70427B86"/>
    <w:rsid w:val="70704AB5"/>
    <w:rsid w:val="71603A0C"/>
    <w:rsid w:val="720A137F"/>
    <w:rsid w:val="738B2ACF"/>
    <w:rsid w:val="74AE50DA"/>
    <w:rsid w:val="74B96A2A"/>
    <w:rsid w:val="74BC44C1"/>
    <w:rsid w:val="76034811"/>
    <w:rsid w:val="76644A26"/>
    <w:rsid w:val="77FB4322"/>
    <w:rsid w:val="780D56CC"/>
    <w:rsid w:val="790659C1"/>
    <w:rsid w:val="790A2C68"/>
    <w:rsid w:val="796C71E7"/>
    <w:rsid w:val="7AD47EB9"/>
    <w:rsid w:val="7C1F6121"/>
    <w:rsid w:val="7CC750CA"/>
    <w:rsid w:val="7CF24905"/>
    <w:rsid w:val="7E7D23E7"/>
    <w:rsid w:val="7FCA6A8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nhideWhenUsed="0" w:uiPriority="0" w:semiHidden="0" w:name="caption"/>
    <w:lsdException w:qFormat="1" w:unhideWhenUsed="0" w:uiPriority="0" w:name="table of figures"/>
    <w:lsdException w:qFormat="1" w:unhideWhenUsed="0" w:uiPriority="0" w:name="envelope address"/>
    <w:lsdException w:qFormat="1" w:unhideWhenUsed="0" w:uiPriority="0" w:name="envelope return"/>
    <w:lsdException w:qFormat="1" w:unhideWhenUsed="0" w:uiPriority="0" w:semiHidden="0" w:name="footnote reference"/>
    <w:lsdException w:qFormat="1" w:unhideWhenUsed="0" w:uiPriority="0" w:semiHidden="0" w:name="annotation reference"/>
    <w:lsdException w:qFormat="1" w:unhideWhenUsed="0"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name="List"/>
    <w:lsdException w:qFormat="1" w:unhideWhenUsed="0" w:uiPriority="0" w:name="List Bullet"/>
    <w:lsdException w:qFormat="1" w:unhideWhenUsed="0" w:uiPriority="0" w:name="List Number"/>
    <w:lsdException w:qFormat="1" w:unhideWhenUsed="0" w:uiPriority="0" w:name="List 2"/>
    <w:lsdException w:qFormat="1" w:unhideWhenUsed="0" w:uiPriority="0" w:name="List 3"/>
    <w:lsdException w:qFormat="1" w:unhideWhenUsed="0" w:uiPriority="0" w:name="List 4"/>
    <w:lsdException w:qFormat="1" w:unhideWhenUsed="0"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nhideWhenUsed="0" w:uiPriority="0" w:name="Body Text"/>
    <w:lsdException w:qFormat="1" w:unhideWhenUsed="0" w:uiPriority="0" w:name="Body Text Indent"/>
    <w:lsdException w:qFormat="1" w:unhideWhenUsed="0" w:uiPriority="0" w:name="List Continue"/>
    <w:lsdException w:qFormat="1" w:unhideWhenUsed="0" w:uiPriority="0" w:name="List Continue 2"/>
    <w:lsdException w:qFormat="1" w:unhideWhenUsed="0" w:uiPriority="0" w:name="List Continue 3"/>
    <w:lsdException w:qFormat="1" w:unhideWhenUsed="0" w:uiPriority="0" w:name="List Continue 4"/>
    <w:lsdException w:qFormat="1" w:unhideWhenUsed="0"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nhideWhenUsed="0" w:uiPriority="0" w:name="Block Text"/>
    <w:lsdException w:qFormat="1" w:unhideWhenUsed="0" w:uiPriority="99" w:semiHidden="0" w:name="Hyperlink"/>
    <w:lsdException w:qFormat="1" w:unhideWhenUsed="0"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nhideWhenUsed="0" w:uiPriority="0" w:name="HTML Acronym"/>
    <w:lsdException w:qFormat="1" w:unhideWhenUsed="0" w:uiPriority="0" w:name="HTML Address"/>
    <w:lsdException w:qFormat="1" w:unhideWhenUsed="0" w:uiPriority="0" w:name="HTML Cite"/>
    <w:lsdException w:qFormat="1" w:unhideWhenUsed="0" w:uiPriority="0" w:name="HTML Code"/>
    <w:lsdException w:qFormat="1" w:unhideWhenUsed="0" w:uiPriority="0" w:name="HTML Definition"/>
    <w:lsdException w:qFormat="1" w:unhideWhenUsed="0" w:uiPriority="0" w:name="HTML Keyboard"/>
    <w:lsdException w:qFormat="1" w:unhideWhenUsed="0" w:uiPriority="0" w:name="HTML Preformatted"/>
    <w:lsdException w:qFormat="1" w:unhideWhenUsed="0" w:uiPriority="0" w:name="HTML Sample"/>
    <w:lsdException w:qFormat="1" w:unhideWhenUsed="0" w:uiPriority="0" w:name="HTML Typewriter"/>
    <w:lsdException w:qFormat="1" w:unhideWhenUsed="0" w:uiPriority="0" w:name="HTML Variable"/>
    <w:lsdException w:qFormat="1" w:uiPriority="99" w:name="Normal Table"/>
    <w:lsdException w:qFormat="1" w:unhideWhenUsed="0" w:uiPriority="0" w:semiHidden="0" w:name="annotation subject"/>
    <w:lsdException w:qFormat="1" w:unhideWhenUsed="0" w:uiPriority="0" w:name="Table Simple 1"/>
    <w:lsdException w:qFormat="1" w:unhideWhenUsed="0" w:uiPriority="0" w:name="Table Simple 2"/>
    <w:lsdException w:qFormat="1" w:unhideWhenUsed="0" w:uiPriority="0" w:name="Table Simple 3"/>
    <w:lsdException w:qFormat="1" w:unhideWhenUsed="0" w:uiPriority="0" w:name="Table Classic 1"/>
    <w:lsdException w:qFormat="1" w:unhideWhenUsed="0" w:uiPriority="0" w:name="Table Classic 2"/>
    <w:lsdException w:qFormat="1" w:unhideWhenUsed="0" w:uiPriority="0" w:name="Table Classic 3"/>
    <w:lsdException w:qFormat="1" w:unhideWhenUsed="0" w:uiPriority="0" w:name="Table Classic 4"/>
    <w:lsdException w:qFormat="1" w:unhideWhenUsed="0" w:uiPriority="0" w:name="Table Colorful 1"/>
    <w:lsdException w:qFormat="1" w:unhideWhenUsed="0" w:uiPriority="0" w:name="Table Colorful 2"/>
    <w:lsdException w:qFormat="1" w:unhideWhenUsed="0" w:uiPriority="0" w:name="Table Colorful 3"/>
    <w:lsdException w:qFormat="1" w:unhideWhenUsed="0" w:uiPriority="0" w:name="Table Columns 1"/>
    <w:lsdException w:qFormat="1" w:unhideWhenUsed="0" w:uiPriority="0" w:name="Table Columns 2"/>
    <w:lsdException w:qFormat="1" w:unhideWhenUsed="0" w:uiPriority="0" w:name="Table Columns 3"/>
    <w:lsdException w:qFormat="1" w:unhideWhenUsed="0" w:uiPriority="0" w:name="Table Columns 4"/>
    <w:lsdException w:qFormat="1" w:unhideWhenUsed="0" w:uiPriority="0" w:name="Table Columns 5"/>
    <w:lsdException w:qFormat="1" w:unhideWhenUsed="0" w:uiPriority="0" w:name="Table Grid 1"/>
    <w:lsdException w:qFormat="1" w:unhideWhenUsed="0" w:uiPriority="0" w:name="Table Grid 2"/>
    <w:lsdException w:qFormat="1" w:unhideWhenUsed="0" w:uiPriority="0" w:name="Table Grid 3"/>
    <w:lsdException w:qFormat="1" w:unhideWhenUsed="0" w:uiPriority="0" w:name="Table Grid 4"/>
    <w:lsdException w:qFormat="1" w:unhideWhenUsed="0" w:uiPriority="0" w:name="Table Grid 5"/>
    <w:lsdException w:qFormat="1" w:unhideWhenUsed="0" w:uiPriority="0" w:name="Table Grid 6"/>
    <w:lsdException w:qFormat="1" w:unhideWhenUsed="0" w:uiPriority="0" w:name="Table Grid 7"/>
    <w:lsdException w:qFormat="1" w:unhideWhenUsed="0" w:uiPriority="0" w:name="Table Grid 8"/>
    <w:lsdException w:qFormat="1" w:unhideWhenUsed="0" w:uiPriority="0" w:name="Table List 1"/>
    <w:lsdException w:qFormat="1" w:unhideWhenUsed="0" w:uiPriority="0" w:name="Table List 2"/>
    <w:lsdException w:qFormat="1" w:unhideWhenUsed="0" w:uiPriority="0" w:name="Table List 3"/>
    <w:lsdException w:qFormat="1" w:unhideWhenUsed="0" w:uiPriority="0" w:name="Table List 4"/>
    <w:lsdException w:qFormat="1" w:unhideWhenUsed="0" w:uiPriority="0" w:name="Table List 5"/>
    <w:lsdException w:qFormat="1" w:unhideWhenUsed="0" w:uiPriority="0" w:name="Table List 6"/>
    <w:lsdException w:qFormat="1" w:unhideWhenUsed="0" w:uiPriority="0" w:name="Table List 7"/>
    <w:lsdException w:qFormat="1" w:unhideWhenUsed="0" w:uiPriority="0" w:name="Table List 8"/>
    <w:lsdException w:qFormat="1" w:unhideWhenUsed="0" w:uiPriority="0" w:name="Table 3D effects 1"/>
    <w:lsdException w:qFormat="1" w:unhideWhenUsed="0" w:uiPriority="0" w:name="Table 3D effects 2"/>
    <w:lsdException w:qFormat="1" w:unhideWhenUsed="0" w:uiPriority="0" w:name="Table 3D effects 3"/>
    <w:lsdException w:qFormat="1" w:unhideWhenUsed="0" w:uiPriority="0" w:name="Table Contemporary"/>
    <w:lsdException w:qFormat="1" w:unhideWhenUsed="0" w:uiPriority="0" w:name="Table Elegant"/>
    <w:lsdException w:qFormat="1" w:unhideWhenUsed="0" w:uiPriority="0" w:name="Table Professional"/>
    <w:lsdException w:qFormat="1" w:unhideWhenUsed="0" w:uiPriority="0" w:name="Table Subtle 1"/>
    <w:lsdException w:qFormat="1" w:unhideWhenUsed="0" w:uiPriority="0" w:name="Table Subtle 2"/>
    <w:lsdException w:qFormat="1" w:unhideWhenUsed="0" w:uiPriority="0" w:name="Table Web 1"/>
    <w:lsdException w:qFormat="1" w:unhideWhenUsed="0" w:uiPriority="0" w:name="Table Web 2"/>
    <w:lsdException w:qFormat="1" w:unhideWhenUsed="0" w:uiPriority="0" w:name="Table Web 3"/>
    <w:lsdException w:qFormat="1" w:unhideWhenUsed="0" w:uiPriority="0" w:semiHidden="0" w:name="Balloon Text"/>
    <w:lsdException w:qFormat="1" w:unhideWhenUsed="0" w:uiPriority="0" w:semiHidden="0" w:name="Table Grid"/>
    <w:lsdException w:qFormat="1" w:unhideWhenUsed="0"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40"/>
    <w:qFormat/>
    <w:uiPriority w:val="0"/>
    <w:pPr>
      <w:keepNext/>
      <w:keepLines/>
      <w:spacing w:line="360" w:lineRule="auto"/>
      <w:outlineLvl w:val="0"/>
    </w:pPr>
    <w:rPr>
      <w:rFonts w:ascii="Calibri" w:hAnsi="Calibri"/>
      <w:b/>
      <w:bCs/>
      <w:kern w:val="44"/>
      <w:sz w:val="32"/>
      <w:szCs w:val="44"/>
    </w:rPr>
  </w:style>
  <w:style w:type="paragraph" w:styleId="4">
    <w:name w:val="heading 2"/>
    <w:basedOn w:val="1"/>
    <w:next w:val="1"/>
    <w:link w:val="148"/>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143"/>
    <w:qFormat/>
    <w:uiPriority w:val="0"/>
    <w:pPr>
      <w:keepNext/>
      <w:keepLines/>
      <w:spacing w:line="360" w:lineRule="auto"/>
      <w:outlineLvl w:val="2"/>
    </w:pPr>
    <w:rPr>
      <w:rFonts w:ascii="Calibri" w:hAnsi="Calibri"/>
      <w:b/>
      <w:bCs/>
      <w:sz w:val="24"/>
      <w:szCs w:val="32"/>
    </w:rPr>
  </w:style>
  <w:style w:type="paragraph" w:styleId="6">
    <w:name w:val="heading 4"/>
    <w:basedOn w:val="1"/>
    <w:next w:val="1"/>
    <w:qFormat/>
    <w:uiPriority w:val="0"/>
    <w:pPr>
      <w:keepNext/>
      <w:keepLines/>
      <w:spacing w:line="360" w:lineRule="auto"/>
      <w:outlineLvl w:val="3"/>
    </w:pPr>
    <w:rPr>
      <w:rFonts w:ascii="Arial" w:hAnsi="Arial"/>
      <w:b/>
      <w:bCs/>
      <w:szCs w:val="28"/>
    </w:rPr>
  </w:style>
  <w:style w:type="paragraph" w:styleId="7">
    <w:name w:val="heading 5"/>
    <w:basedOn w:val="1"/>
    <w:next w:val="1"/>
    <w:qFormat/>
    <w:uiPriority w:val="0"/>
    <w:pPr>
      <w:keepNext/>
      <w:keepLines/>
      <w:spacing w:line="360" w:lineRule="auto"/>
      <w:outlineLvl w:val="4"/>
    </w:pPr>
    <w:rPr>
      <w:rFonts w:eastAsia="黑体"/>
      <w:bCs/>
      <w:szCs w:val="28"/>
    </w:rPr>
  </w:style>
  <w:style w:type="paragraph" w:styleId="8">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qFormat/>
    <w:uiPriority w:val="0"/>
    <w:pPr>
      <w:keepNext/>
      <w:keepLines/>
      <w:spacing w:before="240" w:after="64" w:line="320" w:lineRule="auto"/>
      <w:outlineLvl w:val="6"/>
    </w:pPr>
    <w:rPr>
      <w:b/>
      <w:bCs/>
      <w:sz w:val="24"/>
    </w:rPr>
  </w:style>
  <w:style w:type="paragraph" w:styleId="10">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77">
    <w:name w:val="Default Paragraph Font"/>
    <w:unhideWhenUsed/>
    <w:qFormat/>
    <w:uiPriority w:val="1"/>
  </w:style>
  <w:style w:type="table" w:default="1" w:styleId="95">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semiHidden/>
    <w:qFormat/>
    <w:uiPriority w:val="0"/>
    <w:pPr>
      <w:spacing w:after="120"/>
    </w:pPr>
  </w:style>
  <w:style w:type="paragraph" w:styleId="12">
    <w:name w:val="List 3"/>
    <w:basedOn w:val="1"/>
    <w:semiHidden/>
    <w:qFormat/>
    <w:uiPriority w:val="0"/>
    <w:pPr>
      <w:ind w:left="1260" w:hanging="420"/>
    </w:pPr>
  </w:style>
  <w:style w:type="paragraph" w:styleId="13">
    <w:name w:val="annotation subject"/>
    <w:basedOn w:val="14"/>
    <w:next w:val="14"/>
    <w:qFormat/>
    <w:uiPriority w:val="0"/>
    <w:rPr>
      <w:b/>
      <w:bCs/>
    </w:rPr>
  </w:style>
  <w:style w:type="paragraph" w:styleId="14">
    <w:name w:val="annotation text"/>
    <w:basedOn w:val="1"/>
    <w:link w:val="158"/>
    <w:qFormat/>
    <w:uiPriority w:val="99"/>
    <w:pPr>
      <w:jc w:val="left"/>
    </w:pPr>
    <w:rPr>
      <w:rFonts w:ascii="Calibri" w:hAnsi="Calibri"/>
    </w:rPr>
  </w:style>
  <w:style w:type="paragraph" w:styleId="15">
    <w:name w:val="toc 7"/>
    <w:basedOn w:val="1"/>
    <w:next w:val="1"/>
    <w:qFormat/>
    <w:uiPriority w:val="0"/>
    <w:pPr>
      <w:ind w:left="1260"/>
      <w:jc w:val="left"/>
    </w:pPr>
    <w:rPr>
      <w:sz w:val="18"/>
      <w:szCs w:val="18"/>
    </w:rPr>
  </w:style>
  <w:style w:type="paragraph" w:styleId="16">
    <w:name w:val="Body Text First Indent"/>
    <w:basedOn w:val="2"/>
    <w:semiHidden/>
    <w:qFormat/>
    <w:uiPriority w:val="0"/>
    <w:pPr>
      <w:ind w:firstLine="420"/>
    </w:pPr>
  </w:style>
  <w:style w:type="paragraph" w:styleId="17">
    <w:name w:val="List Number 2"/>
    <w:basedOn w:val="1"/>
    <w:semiHidden/>
    <w:qFormat/>
    <w:uiPriority w:val="0"/>
    <w:pPr>
      <w:tabs>
        <w:tab w:val="left" w:pos="780"/>
      </w:tabs>
      <w:ind w:left="780" w:hanging="360"/>
    </w:pPr>
  </w:style>
  <w:style w:type="paragraph" w:styleId="18">
    <w:name w:val="Note Heading"/>
    <w:basedOn w:val="1"/>
    <w:next w:val="1"/>
    <w:semiHidden/>
    <w:qFormat/>
    <w:uiPriority w:val="0"/>
    <w:pPr>
      <w:jc w:val="center"/>
    </w:pPr>
  </w:style>
  <w:style w:type="paragraph" w:styleId="19">
    <w:name w:val="List Bullet 4"/>
    <w:basedOn w:val="1"/>
    <w:semiHidden/>
    <w:qFormat/>
    <w:uiPriority w:val="0"/>
    <w:pPr>
      <w:tabs>
        <w:tab w:val="left" w:pos="1620"/>
      </w:tabs>
      <w:ind w:left="1620" w:hanging="360"/>
    </w:pPr>
  </w:style>
  <w:style w:type="paragraph" w:styleId="20">
    <w:name w:val="E-mail Signature"/>
    <w:basedOn w:val="1"/>
    <w:semiHidden/>
    <w:qFormat/>
    <w:uiPriority w:val="0"/>
  </w:style>
  <w:style w:type="paragraph" w:styleId="21">
    <w:name w:val="List Number"/>
    <w:basedOn w:val="1"/>
    <w:semiHidden/>
    <w:qFormat/>
    <w:uiPriority w:val="0"/>
    <w:pPr>
      <w:tabs>
        <w:tab w:val="left" w:pos="360"/>
      </w:tabs>
      <w:ind w:left="360" w:hanging="360"/>
    </w:pPr>
  </w:style>
  <w:style w:type="paragraph" w:styleId="22">
    <w:name w:val="Normal Indent"/>
    <w:basedOn w:val="1"/>
    <w:qFormat/>
    <w:uiPriority w:val="0"/>
    <w:pPr>
      <w:ind w:firstLine="420"/>
    </w:pPr>
  </w:style>
  <w:style w:type="paragraph" w:styleId="23">
    <w:name w:val="caption"/>
    <w:basedOn w:val="1"/>
    <w:next w:val="1"/>
    <w:qFormat/>
    <w:uiPriority w:val="0"/>
    <w:pPr>
      <w:spacing w:before="152" w:after="160"/>
    </w:pPr>
    <w:rPr>
      <w:rFonts w:ascii="Arial" w:hAnsi="Arial" w:eastAsia="黑体"/>
      <w:sz w:val="20"/>
      <w:szCs w:val="20"/>
    </w:rPr>
  </w:style>
  <w:style w:type="paragraph" w:styleId="24">
    <w:name w:val="List Bullet"/>
    <w:basedOn w:val="1"/>
    <w:semiHidden/>
    <w:qFormat/>
    <w:uiPriority w:val="0"/>
    <w:pPr>
      <w:tabs>
        <w:tab w:val="left" w:pos="360"/>
      </w:tabs>
      <w:ind w:left="360" w:hanging="360"/>
    </w:pPr>
  </w:style>
  <w:style w:type="paragraph" w:styleId="25">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6">
    <w:name w:val="Document Map"/>
    <w:basedOn w:val="1"/>
    <w:link w:val="151"/>
    <w:qFormat/>
    <w:uiPriority w:val="0"/>
    <w:rPr>
      <w:rFonts w:ascii="Tahoma" w:hAnsi="Tahoma"/>
      <w:sz w:val="16"/>
      <w:szCs w:val="16"/>
    </w:rPr>
  </w:style>
  <w:style w:type="paragraph" w:styleId="27">
    <w:name w:val="Salutation"/>
    <w:basedOn w:val="1"/>
    <w:next w:val="1"/>
    <w:semiHidden/>
    <w:qFormat/>
    <w:uiPriority w:val="0"/>
  </w:style>
  <w:style w:type="paragraph" w:styleId="28">
    <w:name w:val="Body Text 3"/>
    <w:basedOn w:val="1"/>
    <w:semiHidden/>
    <w:qFormat/>
    <w:uiPriority w:val="0"/>
    <w:pPr>
      <w:spacing w:after="120"/>
    </w:pPr>
    <w:rPr>
      <w:sz w:val="16"/>
      <w:szCs w:val="16"/>
    </w:rPr>
  </w:style>
  <w:style w:type="paragraph" w:styleId="29">
    <w:name w:val="Closing"/>
    <w:basedOn w:val="1"/>
    <w:semiHidden/>
    <w:qFormat/>
    <w:uiPriority w:val="0"/>
    <w:pPr>
      <w:ind w:left="4320"/>
    </w:pPr>
  </w:style>
  <w:style w:type="paragraph" w:styleId="30">
    <w:name w:val="List Bullet 3"/>
    <w:basedOn w:val="1"/>
    <w:semiHidden/>
    <w:qFormat/>
    <w:uiPriority w:val="0"/>
    <w:pPr>
      <w:tabs>
        <w:tab w:val="left" w:pos="1200"/>
      </w:tabs>
      <w:ind w:left="1200" w:hanging="360"/>
    </w:pPr>
  </w:style>
  <w:style w:type="paragraph" w:styleId="31">
    <w:name w:val="Body Text Indent"/>
    <w:basedOn w:val="1"/>
    <w:semiHidden/>
    <w:qFormat/>
    <w:uiPriority w:val="0"/>
    <w:pPr>
      <w:spacing w:after="120"/>
      <w:ind w:left="420"/>
    </w:pPr>
  </w:style>
  <w:style w:type="paragraph" w:styleId="32">
    <w:name w:val="List Number 3"/>
    <w:basedOn w:val="1"/>
    <w:semiHidden/>
    <w:qFormat/>
    <w:uiPriority w:val="0"/>
    <w:pPr>
      <w:tabs>
        <w:tab w:val="left" w:pos="1200"/>
      </w:tabs>
      <w:ind w:left="1200" w:hanging="360"/>
    </w:pPr>
  </w:style>
  <w:style w:type="paragraph" w:styleId="33">
    <w:name w:val="List 2"/>
    <w:basedOn w:val="1"/>
    <w:semiHidden/>
    <w:qFormat/>
    <w:uiPriority w:val="0"/>
    <w:pPr>
      <w:ind w:left="840" w:hanging="420"/>
    </w:pPr>
  </w:style>
  <w:style w:type="paragraph" w:styleId="34">
    <w:name w:val="List Continue"/>
    <w:basedOn w:val="1"/>
    <w:semiHidden/>
    <w:qFormat/>
    <w:uiPriority w:val="0"/>
    <w:pPr>
      <w:spacing w:after="120"/>
      <w:ind w:left="420"/>
    </w:pPr>
  </w:style>
  <w:style w:type="paragraph" w:styleId="35">
    <w:name w:val="Block Text"/>
    <w:basedOn w:val="1"/>
    <w:semiHidden/>
    <w:qFormat/>
    <w:uiPriority w:val="0"/>
    <w:pPr>
      <w:spacing w:after="120"/>
      <w:ind w:left="1440" w:right="1440"/>
    </w:pPr>
  </w:style>
  <w:style w:type="paragraph" w:styleId="36">
    <w:name w:val="List Bullet 2"/>
    <w:basedOn w:val="1"/>
    <w:semiHidden/>
    <w:qFormat/>
    <w:uiPriority w:val="0"/>
    <w:pPr>
      <w:tabs>
        <w:tab w:val="left" w:pos="780"/>
      </w:tabs>
      <w:ind w:left="780" w:hanging="360"/>
    </w:pPr>
  </w:style>
  <w:style w:type="paragraph" w:styleId="37">
    <w:name w:val="HTML Address"/>
    <w:basedOn w:val="1"/>
    <w:semiHidden/>
    <w:qFormat/>
    <w:uiPriority w:val="0"/>
    <w:rPr>
      <w:i/>
      <w:iCs/>
    </w:rPr>
  </w:style>
  <w:style w:type="paragraph" w:styleId="38">
    <w:name w:val="toc 5"/>
    <w:basedOn w:val="1"/>
    <w:next w:val="1"/>
    <w:qFormat/>
    <w:uiPriority w:val="0"/>
    <w:pPr>
      <w:ind w:left="840"/>
      <w:jc w:val="left"/>
    </w:pPr>
    <w:rPr>
      <w:sz w:val="18"/>
      <w:szCs w:val="18"/>
    </w:rPr>
  </w:style>
  <w:style w:type="paragraph" w:styleId="39">
    <w:name w:val="toc 3"/>
    <w:basedOn w:val="1"/>
    <w:next w:val="1"/>
    <w:qFormat/>
    <w:uiPriority w:val="0"/>
    <w:pPr>
      <w:ind w:left="840" w:leftChars="400"/>
    </w:pPr>
  </w:style>
  <w:style w:type="paragraph" w:styleId="40">
    <w:name w:val="Plain Text"/>
    <w:basedOn w:val="1"/>
    <w:link w:val="160"/>
    <w:qFormat/>
    <w:uiPriority w:val="0"/>
    <w:rPr>
      <w:rFonts w:ascii="宋体" w:hAnsi="Courier New" w:cs="Courier New"/>
      <w:szCs w:val="21"/>
    </w:rPr>
  </w:style>
  <w:style w:type="paragraph" w:styleId="41">
    <w:name w:val="List Bullet 5"/>
    <w:basedOn w:val="1"/>
    <w:semiHidden/>
    <w:qFormat/>
    <w:uiPriority w:val="0"/>
    <w:pPr>
      <w:tabs>
        <w:tab w:val="left" w:pos="2040"/>
      </w:tabs>
      <w:ind w:left="2040" w:hanging="360"/>
    </w:pPr>
  </w:style>
  <w:style w:type="paragraph" w:styleId="42">
    <w:name w:val="List Number 4"/>
    <w:basedOn w:val="1"/>
    <w:semiHidden/>
    <w:qFormat/>
    <w:uiPriority w:val="0"/>
    <w:pPr>
      <w:tabs>
        <w:tab w:val="left" w:pos="1620"/>
      </w:tabs>
      <w:ind w:left="1620" w:hanging="360"/>
    </w:pPr>
  </w:style>
  <w:style w:type="paragraph" w:styleId="43">
    <w:name w:val="toc 8"/>
    <w:basedOn w:val="1"/>
    <w:next w:val="1"/>
    <w:qFormat/>
    <w:uiPriority w:val="0"/>
    <w:pPr>
      <w:ind w:left="1470"/>
      <w:jc w:val="left"/>
    </w:pPr>
    <w:rPr>
      <w:sz w:val="18"/>
      <w:szCs w:val="18"/>
    </w:rPr>
  </w:style>
  <w:style w:type="paragraph" w:styleId="44">
    <w:name w:val="Date"/>
    <w:basedOn w:val="1"/>
    <w:next w:val="1"/>
    <w:qFormat/>
    <w:uiPriority w:val="0"/>
    <w:pPr>
      <w:ind w:left="100" w:leftChars="2500"/>
    </w:pPr>
  </w:style>
  <w:style w:type="paragraph" w:styleId="45">
    <w:name w:val="Body Text Indent 2"/>
    <w:basedOn w:val="1"/>
    <w:link w:val="171"/>
    <w:qFormat/>
    <w:uiPriority w:val="0"/>
    <w:pPr>
      <w:autoSpaceDE w:val="0"/>
      <w:autoSpaceDN w:val="0"/>
      <w:adjustRightInd w:val="0"/>
      <w:spacing w:line="360" w:lineRule="auto"/>
      <w:ind w:firstLine="480" w:firstLineChars="200"/>
    </w:pPr>
    <w:rPr>
      <w:rFonts w:ascii="宋体" w:hAnsi="Calibri"/>
      <w:color w:val="000000"/>
      <w:sz w:val="24"/>
    </w:rPr>
  </w:style>
  <w:style w:type="paragraph" w:styleId="46">
    <w:name w:val="endnote text"/>
    <w:basedOn w:val="1"/>
    <w:qFormat/>
    <w:uiPriority w:val="0"/>
    <w:pPr>
      <w:snapToGrid w:val="0"/>
      <w:jc w:val="left"/>
    </w:pPr>
  </w:style>
  <w:style w:type="paragraph" w:styleId="47">
    <w:name w:val="List Continue 5"/>
    <w:basedOn w:val="1"/>
    <w:semiHidden/>
    <w:qFormat/>
    <w:uiPriority w:val="0"/>
    <w:pPr>
      <w:spacing w:after="120"/>
      <w:ind w:left="2100"/>
    </w:pPr>
  </w:style>
  <w:style w:type="paragraph" w:styleId="48">
    <w:name w:val="Balloon Text"/>
    <w:basedOn w:val="1"/>
    <w:link w:val="147"/>
    <w:qFormat/>
    <w:uiPriority w:val="0"/>
    <w:rPr>
      <w:rFonts w:ascii="Calibri" w:hAnsi="Calibri"/>
      <w:sz w:val="18"/>
      <w:szCs w:val="18"/>
    </w:rPr>
  </w:style>
  <w:style w:type="paragraph" w:styleId="49">
    <w:name w:val="footer"/>
    <w:basedOn w:val="1"/>
    <w:link w:val="144"/>
    <w:qFormat/>
    <w:uiPriority w:val="0"/>
    <w:pPr>
      <w:tabs>
        <w:tab w:val="center" w:pos="4153"/>
        <w:tab w:val="right" w:pos="8306"/>
      </w:tabs>
      <w:snapToGrid w:val="0"/>
      <w:jc w:val="left"/>
    </w:pPr>
    <w:rPr>
      <w:rFonts w:ascii="Calibri" w:hAnsi="Calibri"/>
      <w:sz w:val="18"/>
      <w:szCs w:val="18"/>
    </w:rPr>
  </w:style>
  <w:style w:type="paragraph" w:styleId="50">
    <w:name w:val="envelope return"/>
    <w:basedOn w:val="1"/>
    <w:semiHidden/>
    <w:qFormat/>
    <w:uiPriority w:val="0"/>
    <w:pPr>
      <w:snapToGrid w:val="0"/>
    </w:pPr>
    <w:rPr>
      <w:rFonts w:ascii="Arial" w:hAnsi="Arial" w:cs="Arial"/>
    </w:rPr>
  </w:style>
  <w:style w:type="paragraph" w:styleId="51">
    <w:name w:val="Body Text First Indent 2"/>
    <w:basedOn w:val="31"/>
    <w:semiHidden/>
    <w:qFormat/>
    <w:uiPriority w:val="0"/>
    <w:pPr>
      <w:ind w:firstLine="420"/>
    </w:pPr>
  </w:style>
  <w:style w:type="paragraph" w:styleId="52">
    <w:name w:val="header"/>
    <w:basedOn w:val="1"/>
    <w:link w:val="142"/>
    <w:qFormat/>
    <w:uiPriority w:val="0"/>
    <w:pPr>
      <w:tabs>
        <w:tab w:val="center" w:pos="4320"/>
        <w:tab w:val="right" w:pos="8640"/>
      </w:tabs>
    </w:pPr>
    <w:rPr>
      <w:rFonts w:ascii="Calibri" w:hAnsi="Calibri"/>
    </w:rPr>
  </w:style>
  <w:style w:type="paragraph" w:styleId="53">
    <w:name w:val="Signature"/>
    <w:basedOn w:val="1"/>
    <w:semiHidden/>
    <w:qFormat/>
    <w:uiPriority w:val="0"/>
    <w:pPr>
      <w:ind w:left="4320"/>
    </w:pPr>
  </w:style>
  <w:style w:type="paragraph" w:styleId="54">
    <w:name w:val="toc 1"/>
    <w:basedOn w:val="1"/>
    <w:next w:val="1"/>
    <w:qFormat/>
    <w:uiPriority w:val="0"/>
    <w:rPr>
      <w:szCs w:val="20"/>
    </w:rPr>
  </w:style>
  <w:style w:type="paragraph" w:styleId="55">
    <w:name w:val="List Continue 4"/>
    <w:basedOn w:val="1"/>
    <w:semiHidden/>
    <w:qFormat/>
    <w:uiPriority w:val="0"/>
    <w:pPr>
      <w:spacing w:after="120"/>
      <w:ind w:left="1680"/>
    </w:pPr>
  </w:style>
  <w:style w:type="paragraph" w:styleId="56">
    <w:name w:val="toc 4"/>
    <w:basedOn w:val="1"/>
    <w:next w:val="1"/>
    <w:qFormat/>
    <w:uiPriority w:val="0"/>
    <w:pPr>
      <w:ind w:left="630"/>
      <w:jc w:val="left"/>
    </w:pPr>
    <w:rPr>
      <w:sz w:val="18"/>
      <w:szCs w:val="18"/>
    </w:rPr>
  </w:style>
  <w:style w:type="paragraph" w:styleId="57">
    <w:name w:val="index heading"/>
    <w:basedOn w:val="1"/>
    <w:next w:val="58"/>
    <w:semiHidden/>
    <w:qFormat/>
    <w:uiPriority w:val="0"/>
    <w:pPr>
      <w:adjustRightInd w:val="0"/>
      <w:spacing w:line="490" w:lineRule="exact"/>
      <w:ind w:firstLine="556"/>
      <w:textAlignment w:val="baseline"/>
    </w:pPr>
    <w:rPr>
      <w:rFonts w:eastAsia="仿宋_GB2312"/>
      <w:kern w:val="0"/>
      <w:sz w:val="28"/>
      <w:szCs w:val="20"/>
    </w:rPr>
  </w:style>
  <w:style w:type="paragraph" w:styleId="58">
    <w:name w:val="index 1"/>
    <w:basedOn w:val="1"/>
    <w:next w:val="1"/>
    <w:semiHidden/>
    <w:qFormat/>
    <w:uiPriority w:val="0"/>
  </w:style>
  <w:style w:type="paragraph" w:styleId="59">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60">
    <w:name w:val="List Number 5"/>
    <w:basedOn w:val="1"/>
    <w:semiHidden/>
    <w:qFormat/>
    <w:uiPriority w:val="0"/>
    <w:pPr>
      <w:tabs>
        <w:tab w:val="left" w:pos="2040"/>
      </w:tabs>
      <w:ind w:left="2040" w:hanging="360"/>
    </w:pPr>
  </w:style>
  <w:style w:type="paragraph" w:styleId="61">
    <w:name w:val="List"/>
    <w:basedOn w:val="1"/>
    <w:semiHidden/>
    <w:qFormat/>
    <w:uiPriority w:val="0"/>
    <w:pPr>
      <w:ind w:left="420" w:hanging="420"/>
    </w:pPr>
  </w:style>
  <w:style w:type="paragraph" w:styleId="62">
    <w:name w:val="footnote text"/>
    <w:basedOn w:val="1"/>
    <w:link w:val="174"/>
    <w:qFormat/>
    <w:uiPriority w:val="0"/>
    <w:pPr>
      <w:snapToGrid w:val="0"/>
      <w:jc w:val="left"/>
    </w:pPr>
    <w:rPr>
      <w:rFonts w:ascii="Calibri" w:hAnsi="Calibri"/>
      <w:kern w:val="0"/>
      <w:sz w:val="18"/>
      <w:szCs w:val="20"/>
    </w:rPr>
  </w:style>
  <w:style w:type="paragraph" w:styleId="63">
    <w:name w:val="toc 6"/>
    <w:basedOn w:val="1"/>
    <w:next w:val="1"/>
    <w:qFormat/>
    <w:uiPriority w:val="0"/>
    <w:pPr>
      <w:ind w:left="1050"/>
      <w:jc w:val="left"/>
    </w:pPr>
    <w:rPr>
      <w:sz w:val="18"/>
      <w:szCs w:val="18"/>
    </w:rPr>
  </w:style>
  <w:style w:type="paragraph" w:styleId="64">
    <w:name w:val="List 5"/>
    <w:basedOn w:val="1"/>
    <w:semiHidden/>
    <w:qFormat/>
    <w:uiPriority w:val="0"/>
    <w:pPr>
      <w:ind w:left="2100" w:hanging="420"/>
    </w:pPr>
  </w:style>
  <w:style w:type="paragraph" w:styleId="65">
    <w:name w:val="Body Text Indent 3"/>
    <w:basedOn w:val="1"/>
    <w:semiHidden/>
    <w:qFormat/>
    <w:uiPriority w:val="0"/>
    <w:pPr>
      <w:spacing w:after="120"/>
      <w:ind w:left="420"/>
    </w:pPr>
    <w:rPr>
      <w:sz w:val="16"/>
      <w:szCs w:val="16"/>
    </w:rPr>
  </w:style>
  <w:style w:type="paragraph" w:styleId="66">
    <w:name w:val="table of figures"/>
    <w:basedOn w:val="1"/>
    <w:next w:val="1"/>
    <w:semiHidden/>
    <w:qFormat/>
    <w:uiPriority w:val="0"/>
    <w:pPr>
      <w:ind w:left="200" w:leftChars="200" w:hanging="200" w:hangingChars="200"/>
    </w:pPr>
  </w:style>
  <w:style w:type="paragraph" w:styleId="67">
    <w:name w:val="toc 2"/>
    <w:basedOn w:val="1"/>
    <w:next w:val="1"/>
    <w:qFormat/>
    <w:uiPriority w:val="0"/>
    <w:pPr>
      <w:ind w:left="420" w:leftChars="200"/>
    </w:pPr>
    <w:rPr>
      <w:szCs w:val="20"/>
    </w:rPr>
  </w:style>
  <w:style w:type="paragraph" w:styleId="68">
    <w:name w:val="toc 9"/>
    <w:basedOn w:val="1"/>
    <w:next w:val="1"/>
    <w:qFormat/>
    <w:uiPriority w:val="0"/>
    <w:pPr>
      <w:ind w:left="1680"/>
      <w:jc w:val="left"/>
    </w:pPr>
    <w:rPr>
      <w:sz w:val="18"/>
      <w:szCs w:val="18"/>
    </w:rPr>
  </w:style>
  <w:style w:type="paragraph" w:styleId="69">
    <w:name w:val="Body Text 2"/>
    <w:basedOn w:val="1"/>
    <w:semiHidden/>
    <w:qFormat/>
    <w:uiPriority w:val="0"/>
    <w:pPr>
      <w:spacing w:after="120" w:line="480" w:lineRule="auto"/>
    </w:pPr>
  </w:style>
  <w:style w:type="paragraph" w:styleId="70">
    <w:name w:val="List 4"/>
    <w:basedOn w:val="1"/>
    <w:semiHidden/>
    <w:qFormat/>
    <w:uiPriority w:val="0"/>
    <w:pPr>
      <w:ind w:left="1680" w:hanging="420"/>
    </w:pPr>
  </w:style>
  <w:style w:type="paragraph" w:styleId="71">
    <w:name w:val="List Continue 2"/>
    <w:basedOn w:val="1"/>
    <w:semiHidden/>
    <w:qFormat/>
    <w:uiPriority w:val="0"/>
    <w:pPr>
      <w:spacing w:after="120"/>
      <w:ind w:left="840"/>
    </w:pPr>
  </w:style>
  <w:style w:type="paragraph" w:styleId="72">
    <w:name w:val="Message Header"/>
    <w:basedOn w:val="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73">
    <w:name w:val="HTML Preformatted"/>
    <w:basedOn w:val="1"/>
    <w:semiHidden/>
    <w:qFormat/>
    <w:uiPriority w:val="0"/>
    <w:rPr>
      <w:rFonts w:ascii="Courier New" w:hAnsi="Courier New" w:cs="Courier New"/>
      <w:sz w:val="20"/>
      <w:szCs w:val="20"/>
    </w:rPr>
  </w:style>
  <w:style w:type="paragraph" w:styleId="74">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75">
    <w:name w:val="List Continue 3"/>
    <w:basedOn w:val="1"/>
    <w:semiHidden/>
    <w:qFormat/>
    <w:uiPriority w:val="0"/>
    <w:pPr>
      <w:spacing w:after="120"/>
      <w:ind w:left="1260"/>
    </w:pPr>
  </w:style>
  <w:style w:type="paragraph" w:styleId="76">
    <w:name w:val="Title"/>
    <w:basedOn w:val="1"/>
    <w:next w:val="1"/>
    <w:qFormat/>
    <w:uiPriority w:val="0"/>
    <w:pPr>
      <w:spacing w:before="240" w:after="60"/>
      <w:jc w:val="center"/>
      <w:outlineLvl w:val="0"/>
    </w:pPr>
    <w:rPr>
      <w:rFonts w:ascii="Arial" w:hAnsi="Arial" w:cs="Arial"/>
      <w:b/>
      <w:bCs/>
      <w:sz w:val="32"/>
      <w:szCs w:val="32"/>
    </w:rPr>
  </w:style>
  <w:style w:type="character" w:styleId="78">
    <w:name w:val="Strong"/>
    <w:qFormat/>
    <w:uiPriority w:val="0"/>
    <w:rPr>
      <w:b/>
      <w:bCs/>
    </w:rPr>
  </w:style>
  <w:style w:type="character" w:styleId="79">
    <w:name w:val="endnote reference"/>
    <w:qFormat/>
    <w:uiPriority w:val="0"/>
    <w:rPr>
      <w:vertAlign w:val="superscript"/>
    </w:rPr>
  </w:style>
  <w:style w:type="character" w:styleId="80">
    <w:name w:val="page number"/>
    <w:basedOn w:val="77"/>
    <w:qFormat/>
    <w:uiPriority w:val="0"/>
  </w:style>
  <w:style w:type="character" w:styleId="81">
    <w:name w:val="FollowedHyperlink"/>
    <w:semiHidden/>
    <w:qFormat/>
    <w:uiPriority w:val="99"/>
    <w:rPr>
      <w:color w:val="800080"/>
      <w:u w:val="single"/>
    </w:rPr>
  </w:style>
  <w:style w:type="character" w:styleId="82">
    <w:name w:val="Emphasis"/>
    <w:qFormat/>
    <w:uiPriority w:val="0"/>
    <w:rPr>
      <w:i/>
      <w:iCs/>
    </w:rPr>
  </w:style>
  <w:style w:type="character" w:styleId="83">
    <w:name w:val="line number"/>
    <w:basedOn w:val="77"/>
    <w:semiHidden/>
    <w:qFormat/>
    <w:uiPriority w:val="0"/>
  </w:style>
  <w:style w:type="character" w:styleId="84">
    <w:name w:val="HTML Definition"/>
    <w:semiHidden/>
    <w:qFormat/>
    <w:uiPriority w:val="0"/>
    <w:rPr>
      <w:i/>
      <w:iCs/>
    </w:rPr>
  </w:style>
  <w:style w:type="character" w:styleId="85">
    <w:name w:val="HTML Typewriter"/>
    <w:semiHidden/>
    <w:qFormat/>
    <w:uiPriority w:val="0"/>
    <w:rPr>
      <w:rFonts w:ascii="Courier New" w:hAnsi="Courier New" w:cs="Courier New"/>
      <w:sz w:val="20"/>
      <w:szCs w:val="20"/>
    </w:rPr>
  </w:style>
  <w:style w:type="character" w:styleId="86">
    <w:name w:val="HTML Acronym"/>
    <w:basedOn w:val="77"/>
    <w:semiHidden/>
    <w:qFormat/>
    <w:uiPriority w:val="0"/>
  </w:style>
  <w:style w:type="character" w:styleId="87">
    <w:name w:val="HTML Variable"/>
    <w:semiHidden/>
    <w:qFormat/>
    <w:uiPriority w:val="0"/>
    <w:rPr>
      <w:i/>
      <w:iCs/>
    </w:rPr>
  </w:style>
  <w:style w:type="character" w:styleId="88">
    <w:name w:val="Hyperlink"/>
    <w:qFormat/>
    <w:uiPriority w:val="99"/>
    <w:rPr>
      <w:color w:val="0000FF"/>
      <w:u w:val="single"/>
    </w:rPr>
  </w:style>
  <w:style w:type="character" w:styleId="89">
    <w:name w:val="HTML Code"/>
    <w:semiHidden/>
    <w:qFormat/>
    <w:uiPriority w:val="0"/>
    <w:rPr>
      <w:rFonts w:ascii="Courier New" w:hAnsi="Courier New" w:cs="Courier New"/>
      <w:sz w:val="20"/>
      <w:szCs w:val="20"/>
    </w:rPr>
  </w:style>
  <w:style w:type="character" w:styleId="90">
    <w:name w:val="annotation reference"/>
    <w:qFormat/>
    <w:uiPriority w:val="0"/>
    <w:rPr>
      <w:sz w:val="21"/>
      <w:szCs w:val="21"/>
    </w:rPr>
  </w:style>
  <w:style w:type="character" w:styleId="91">
    <w:name w:val="HTML Cite"/>
    <w:semiHidden/>
    <w:qFormat/>
    <w:uiPriority w:val="0"/>
    <w:rPr>
      <w:i/>
      <w:iCs/>
    </w:rPr>
  </w:style>
  <w:style w:type="character" w:styleId="92">
    <w:name w:val="footnote reference"/>
    <w:qFormat/>
    <w:uiPriority w:val="0"/>
    <w:rPr>
      <w:vertAlign w:val="superscript"/>
    </w:rPr>
  </w:style>
  <w:style w:type="character" w:styleId="93">
    <w:name w:val="HTML Keyboard"/>
    <w:semiHidden/>
    <w:qFormat/>
    <w:uiPriority w:val="0"/>
    <w:rPr>
      <w:rFonts w:ascii="Courier New" w:hAnsi="Courier New" w:cs="Courier New"/>
      <w:sz w:val="20"/>
      <w:szCs w:val="20"/>
    </w:rPr>
  </w:style>
  <w:style w:type="character" w:styleId="94">
    <w:name w:val="HTML Sample"/>
    <w:semiHidden/>
    <w:qFormat/>
    <w:uiPriority w:val="0"/>
    <w:rPr>
      <w:rFonts w:ascii="Courier New" w:hAnsi="Courier New" w:cs="Courier New"/>
    </w:rPr>
  </w:style>
  <w:style w:type="table" w:styleId="96">
    <w:name w:val="Table Grid"/>
    <w:basedOn w:val="9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97">
    <w:name w:val="Table Theme"/>
    <w:basedOn w:val="95"/>
    <w:semiHidden/>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98">
    <w:name w:val="Table Colorful 1"/>
    <w:basedOn w:val="95"/>
    <w:semiHidden/>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Layout w:type="fixed"/>
      <w:tblCellMar>
        <w:top w:w="0" w:type="dxa"/>
        <w:left w:w="108" w:type="dxa"/>
        <w:bottom w:w="0" w:type="dxa"/>
        <w:right w:w="108" w:type="dxa"/>
      </w:tblCellMar>
    </w:tblPr>
    <w:tcPr>
      <w:shd w:val="solid" w:color="008080" w:fill="FFFFFF"/>
    </w:tcPr>
    <w:tblStylePr w:type="firstRow">
      <w:rPr>
        <w:b/>
        <w:bCs/>
        <w:i/>
        <w:iCs/>
      </w:rPr>
      <w:tblPr>
        <w:tblLayout w:type="fixed"/>
      </w:tblPr>
      <w:tcPr>
        <w:tcBorders>
          <w:top w:val="nil"/>
          <w:left w:val="nil"/>
          <w:bottom w:val="nil"/>
          <w:right w:val="nil"/>
          <w:insideH w:val="nil"/>
          <w:insideV w:val="nil"/>
          <w:tl2br w:val="nil"/>
          <w:tr2bl w:val="nil"/>
        </w:tcBorders>
        <w:shd w:val="solid" w:color="000000" w:fill="FFFFFF"/>
      </w:tcPr>
    </w:tblStylePr>
    <w:tblStylePr w:type="firstCol">
      <w:rPr>
        <w:b/>
        <w:bCs/>
        <w:i/>
        <w:iCs/>
      </w:rPr>
      <w:tblPr>
        <w:tblLayout w:type="fixed"/>
      </w:tblPr>
      <w:tcPr>
        <w:tcBorders>
          <w:top w:val="nil"/>
          <w:left w:val="nil"/>
          <w:bottom w:val="nil"/>
          <w:right w:val="nil"/>
          <w:insideH w:val="nil"/>
          <w:insideV w:val="nil"/>
          <w:tl2br w:val="nil"/>
          <w:tr2bl w:val="nil"/>
        </w:tcBorders>
        <w:shd w:val="solid" w:color="000080" w:fill="FFFFFF"/>
      </w:tcPr>
    </w:tblStylePr>
    <w:tblStylePr w:type="nwCell">
      <w:tblPr>
        <w:tblLayout w:type="fixed"/>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99">
    <w:name w:val="Table Colorful 2"/>
    <w:basedOn w:val="95"/>
    <w:semiHidden/>
    <w:qFormat/>
    <w:uiPriority w:val="0"/>
    <w:pPr>
      <w:widowControl w:val="0"/>
      <w:jc w:val="both"/>
    </w:pPr>
    <w:tblPr>
      <w:tblBorders>
        <w:bottom w:val="single" w:color="000000" w:sz="12" w:space="0"/>
      </w:tblBorders>
      <w:tblLayout w:type="fixed"/>
      <w:tblCellMar>
        <w:top w:w="0" w:type="dxa"/>
        <w:left w:w="108" w:type="dxa"/>
        <w:bottom w:w="0" w:type="dxa"/>
        <w:right w:w="108" w:type="dxa"/>
      </w:tblCellMar>
    </w:tblPr>
    <w:tcPr>
      <w:shd w:val="pct20" w:color="FFFF00" w:fill="FFFFFF"/>
    </w:tcPr>
    <w:tblStylePr w:type="firstRow">
      <w:rPr>
        <w:b/>
        <w:bCs/>
        <w:i/>
        <w:iCs/>
        <w:color w:val="FFFFFF"/>
      </w:rPr>
      <w:tblPr>
        <w:tblLayout w:type="fixed"/>
      </w:tblPr>
      <w:tcPr>
        <w:tcBorders>
          <w:top w:val="nil"/>
          <w:left w:val="single" w:color="000000" w:sz="12" w:space="0"/>
          <w:bottom w:val="nil"/>
          <w:right w:val="nil"/>
          <w:insideH w:val="nil"/>
          <w:insideV w:val="nil"/>
          <w:tl2br w:val="nil"/>
          <w:tr2bl w:val="nil"/>
        </w:tcBorders>
        <w:shd w:val="solid" w:color="800000" w:fill="FFFFFF"/>
      </w:tcPr>
    </w:tblStylePr>
    <w:tblStylePr w:type="firstCol">
      <w:rPr>
        <w:b/>
        <w:bCs/>
        <w:i/>
        <w:iCs/>
      </w:rPr>
      <w:tblPr>
        <w:tblLayout w:type="fixed"/>
      </w:tblPr>
      <w:tcPr>
        <w:tcBorders>
          <w:top w:val="nil"/>
          <w:left w:val="nil"/>
          <w:bottom w:val="nil"/>
          <w:right w:val="nil"/>
          <w:insideH w:val="nil"/>
          <w:insideV w:val="nil"/>
          <w:tl2br w:val="nil"/>
          <w:tr2bl w:val="nil"/>
        </w:tcBorders>
      </w:tcPr>
    </w:tblStylePr>
    <w:tblStylePr w:type="lastCol">
      <w:tblPr>
        <w:tblLayout w:type="fixed"/>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100">
    <w:name w:val="Table Colorful 3"/>
    <w:basedOn w:val="95"/>
    <w:semiHidden/>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Layout w:type="fixed"/>
      <w:tblCellMar>
        <w:top w:w="0" w:type="dxa"/>
        <w:left w:w="108" w:type="dxa"/>
        <w:bottom w:w="0" w:type="dxa"/>
        <w:right w:w="108" w:type="dxa"/>
      </w:tblCellMar>
    </w:tblPr>
    <w:tcPr>
      <w:shd w:val="pct25" w:color="008080" w:fill="FFFFFF"/>
    </w:tcPr>
    <w:tblStylePr w:type="firstRow">
      <w:tblPr>
        <w:tblLayout w:type="fixed"/>
      </w:tblPr>
      <w:tcPr>
        <w:tcBorders>
          <w:top w:val="nil"/>
          <w:left w:val="single" w:color="000000" w:sz="6" w:space="0"/>
          <w:bottom w:val="nil"/>
          <w:right w:val="nil"/>
          <w:insideH w:val="nil"/>
          <w:insideV w:val="nil"/>
          <w:tl2br w:val="nil"/>
          <w:tr2bl w:val="nil"/>
        </w:tcBorders>
        <w:shd w:val="solid" w:color="008080" w:fill="FFFFFF"/>
      </w:tcPr>
    </w:tblStylePr>
    <w:tblStylePr w:type="firstCol">
      <w:tblPr>
        <w:tblLayout w:type="fixed"/>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101">
    <w:name w:val="Table Elegant"/>
    <w:basedOn w:val="95"/>
    <w:semiHidden/>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Pr>
        <w:tblLayout w:type="fixed"/>
      </w:tblPr>
      <w:tcPr>
        <w:tcBorders>
          <w:top w:val="nil"/>
          <w:left w:val="nil"/>
          <w:bottom w:val="nil"/>
          <w:right w:val="nil"/>
          <w:insideH w:val="nil"/>
          <w:insideV w:val="nil"/>
          <w:tl2br w:val="nil"/>
          <w:tr2bl w:val="nil"/>
        </w:tcBorders>
      </w:tcPr>
    </w:tblStylePr>
  </w:style>
  <w:style w:type="table" w:styleId="102">
    <w:name w:val="Table Classic 1"/>
    <w:basedOn w:val="95"/>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6" w:space="0"/>
          <w:insideH w:val="nil"/>
          <w:insideV w:val="nil"/>
          <w:tl2br w:val="nil"/>
          <w:tr2bl w:val="nil"/>
        </w:tcBorders>
      </w:tcPr>
    </w:tblStylePr>
    <w:tblStylePr w:type="neCell">
      <w:rPr>
        <w:b/>
        <w:bCs/>
        <w:i w:val="0"/>
        <w:iCs w:val="0"/>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3">
    <w:name w:val="Table Classic 2"/>
    <w:basedOn w:val="95"/>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color w:val="FFFFFF"/>
      </w:rPr>
      <w:tblPr>
        <w:tblLayout w:type="fixed"/>
      </w:tblPr>
      <w:tcPr>
        <w:tcBorders>
          <w:top w:val="nil"/>
          <w:left w:val="single" w:color="000000" w:sz="6" w:space="0"/>
          <w:bottom w:val="nil"/>
          <w:right w:val="nil"/>
          <w:insideH w:val="nil"/>
          <w:insideV w:val="nil"/>
          <w:tl2br w:val="nil"/>
          <w:tr2bl w:val="nil"/>
        </w:tcBorders>
        <w:shd w:val="solid" w:color="80008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shd w:val="solid" w:color="C0C0C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shd w:val="solid" w:color="800080" w:fill="FFFFFF"/>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104">
    <w:name w:val="Table Classic 3"/>
    <w:basedOn w:val="95"/>
    <w:semiHidden/>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solid" w:color="C0C0C0" w:fill="FFFFFF"/>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solid" w:color="000080" w:fill="FFFFFF"/>
      </w:tcPr>
    </w:tblStylePr>
    <w:tblStylePr w:type="lastRow">
      <w:rPr>
        <w:color w:val="000080"/>
      </w:rPr>
      <w:tblPr>
        <w:tblLayout w:type="fixed"/>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blLayout w:type="fixed"/>
      </w:tblPr>
      <w:tcPr>
        <w:tcBorders>
          <w:top w:val="nil"/>
          <w:left w:val="nil"/>
          <w:bottom w:val="nil"/>
          <w:right w:val="nil"/>
          <w:insideH w:val="nil"/>
          <w:insideV w:val="nil"/>
          <w:tl2br w:val="nil"/>
          <w:tr2bl w:val="nil"/>
        </w:tcBorders>
      </w:tcPr>
    </w:tblStylePr>
  </w:style>
  <w:style w:type="table" w:styleId="105">
    <w:name w:val="Table Classic 4"/>
    <w:basedOn w:val="95"/>
    <w:semiHidden/>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Layout w:type="fixed"/>
      <w:tblCellMar>
        <w:top w:w="0" w:type="dxa"/>
        <w:left w:w="108" w:type="dxa"/>
        <w:bottom w:w="0" w:type="dxa"/>
        <w:right w:w="108" w:type="dxa"/>
      </w:tblCellMar>
    </w:tblPr>
    <w:tcPr>
      <w:shd w:val="clear" w:color="auto" w:fill="auto"/>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pct50" w:color="000080" w:fill="FFFFFF"/>
      </w:tcPr>
    </w:tblStylePr>
    <w:tblStylePr w:type="lastRow">
      <w:rPr>
        <w:color w:val="000080"/>
      </w:rPr>
      <w:tblPr>
        <w:tblLayout w:type="fixed"/>
      </w:tblPr>
      <w:tcPr>
        <w:tcBorders>
          <w:top w:val="nil"/>
          <w:left w:val="single" w:color="000000" w:sz="6" w:space="0"/>
          <w:bottom w:val="nil"/>
          <w:right w:val="nil"/>
          <w:insideH w:val="nil"/>
          <w:insideV w:val="nil"/>
          <w:tl2br w:val="nil"/>
          <w:tr2bl w:val="nil"/>
        </w:tcBorders>
        <w:shd w:val="pct50" w:color="000000" w:fill="FFFFFF"/>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rPr>
        <w:b/>
        <w:bCs/>
      </w:rPr>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106">
    <w:name w:val="Table Simple 1"/>
    <w:basedOn w:val="95"/>
    <w:semiHidden/>
    <w:qFormat/>
    <w:uiPriority w:val="0"/>
    <w:pPr>
      <w:widowControl w:val="0"/>
      <w:jc w:val="both"/>
    </w:pPr>
    <w:tblPr>
      <w:tblBorders>
        <w:top w:val="single" w:color="008000" w:sz="12" w:space="0"/>
        <w:bottom w:val="single" w:color="008000" w:sz="12"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8000" w:sz="6" w:space="0"/>
          <w:bottom w:val="nil"/>
          <w:right w:val="nil"/>
          <w:insideH w:val="nil"/>
          <w:insideV w:val="nil"/>
          <w:tl2br w:val="nil"/>
          <w:tr2bl w:val="nil"/>
        </w:tcBorders>
      </w:tcPr>
    </w:tblStylePr>
    <w:tblStylePr w:type="lastRow">
      <w:tblPr>
        <w:tblLayout w:type="fixed"/>
      </w:tblPr>
      <w:tcPr>
        <w:tcBorders>
          <w:top w:val="single" w:color="008000" w:sz="6" w:space="0"/>
          <w:left w:val="nil"/>
          <w:bottom w:val="nil"/>
          <w:right w:val="nil"/>
          <w:insideH w:val="nil"/>
          <w:insideV w:val="nil"/>
          <w:tl2br w:val="nil"/>
          <w:tr2bl w:val="nil"/>
        </w:tcBorders>
      </w:tcPr>
    </w:tblStylePr>
  </w:style>
  <w:style w:type="table" w:styleId="107">
    <w:name w:val="Table Simple 2"/>
    <w:basedOn w:val="95"/>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lastCol">
      <w:rPr>
        <w:b/>
        <w:bCs/>
      </w:rPr>
      <w:tblPr>
        <w:tblLayout w:type="fixed"/>
      </w:tblPr>
      <w:tcPr>
        <w:tcBorders>
          <w:top w:val="nil"/>
          <w:left w:val="nil"/>
          <w:bottom w:val="single" w:color="000000" w:sz="6" w:space="0"/>
          <w:right w:val="nil"/>
          <w:insideH w:val="nil"/>
          <w:insideV w:val="nil"/>
          <w:tl2br w:val="nil"/>
          <w:tr2bl w:val="nil"/>
        </w:tcBorders>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8">
    <w:name w:val="Table Simple 3"/>
    <w:basedOn w:val="95"/>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109">
    <w:name w:val="Table Subtle 1"/>
    <w:basedOn w:val="95"/>
    <w:semiHidden/>
    <w:qFormat/>
    <w:uiPriority w:val="0"/>
    <w:pPr>
      <w:widowControl w:val="0"/>
      <w:jc w:val="both"/>
    </w:pPr>
    <w:tblPr>
      <w:tblLayout w:type="fixed"/>
      <w:tblCellMar>
        <w:top w:w="0" w:type="dxa"/>
        <w:left w:w="108" w:type="dxa"/>
        <w:bottom w:w="0" w:type="dxa"/>
        <w:right w:w="108" w:type="dxa"/>
      </w:tblCellMar>
    </w:tblPr>
    <w:tblStylePr w:type="firstRow">
      <w:tblPr>
        <w:tblLayout w:type="fixed"/>
      </w:tblPr>
      <w:tcPr>
        <w:tcBorders>
          <w:top w:val="single" w:color="000000" w:sz="6" w:space="0"/>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blLayout w:type="fixed"/>
      </w:tblPr>
      <w:tcPr>
        <w:tcBorders>
          <w:top w:val="nil"/>
          <w:left w:val="nil"/>
          <w:bottom w:val="nil"/>
          <w:right w:val="single" w:color="000000" w:sz="12" w:space="0"/>
          <w:insideH w:val="nil"/>
          <w:insideV w:val="nil"/>
          <w:tl2br w:val="nil"/>
          <w:tr2bl w:val="nil"/>
        </w:tcBorders>
      </w:tcPr>
    </w:tblStylePr>
    <w:tblStylePr w:type="lastCol">
      <w:tblPr>
        <w:tblLayout w:type="fixed"/>
      </w:tblPr>
      <w:tcPr>
        <w:tcBorders>
          <w:top w:val="nil"/>
          <w:left w:val="nil"/>
          <w:bottom w:val="single" w:color="000000" w:sz="12" w:space="0"/>
          <w:right w:val="nil"/>
          <w:insideH w:val="nil"/>
          <w:insideV w:val="nil"/>
          <w:tl2br w:val="nil"/>
          <w:tr2bl w:val="nil"/>
        </w:tcBorders>
      </w:tcPr>
    </w:tblStylePr>
    <w:tblStylePr w:type="band1Horz">
      <w:tblPr>
        <w:tblLayout w:type="fixed"/>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0">
    <w:name w:val="Table Subtle 2"/>
    <w:basedOn w:val="95"/>
    <w:semiHidden/>
    <w:qFormat/>
    <w:uiPriority w:val="0"/>
    <w:pPr>
      <w:widowControl w:val="0"/>
      <w:jc w:val="both"/>
    </w:pPr>
    <w:tblPr>
      <w:tblBorders>
        <w:left w:val="single" w:color="000000" w:sz="6" w:space="0"/>
        <w:right w:val="single" w:color="000000" w:sz="6" w:space="0"/>
      </w:tblBorders>
      <w:tblLayout w:type="fixed"/>
      <w:tblCellMar>
        <w:top w:w="0" w:type="dxa"/>
        <w:left w:w="108" w:type="dxa"/>
        <w:bottom w:w="0" w:type="dxa"/>
        <w:right w:w="108" w:type="dxa"/>
      </w:tblCellMar>
    </w:tbl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blLayout w:type="fixed"/>
      </w:tblPr>
      <w:tcPr>
        <w:tcBorders>
          <w:top w:val="nil"/>
          <w:left w:val="nil"/>
          <w:bottom w:val="single" w:color="000000" w:sz="12" w:space="0"/>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1">
    <w:name w:val="Table 3D effects 1"/>
    <w:basedOn w:val="95"/>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color w:val="800080"/>
      </w:rPr>
      <w:tblPr>
        <w:tblLayout w:type="fixed"/>
      </w:tblPr>
      <w:tcPr>
        <w:tcBorders>
          <w:top w:val="nil"/>
          <w:left w:val="single" w:color="808080" w:sz="6" w:space="0"/>
          <w:bottom w:val="nil"/>
          <w:right w:val="nil"/>
          <w:insideH w:val="nil"/>
          <w:insideV w:val="nil"/>
          <w:tl2br w:val="nil"/>
          <w:tr2bl w:val="nil"/>
        </w:tcBorders>
      </w:tcPr>
    </w:tblStylePr>
    <w:tblStylePr w:type="lastRow">
      <w:tblPr>
        <w:tblLayout w:type="fixed"/>
      </w:tblPr>
      <w:tcPr>
        <w:tcBorders>
          <w:top w:val="single" w:color="FFFFFF"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single" w:color="FFFFFF" w:sz="6" w:space="0"/>
          <w:right w:val="nil"/>
          <w:insideH w:val="nil"/>
          <w:insideV w:val="nil"/>
          <w:tl2br w:val="nil"/>
          <w:tr2bl w:val="nil"/>
        </w:tcBorders>
      </w:tcPr>
    </w:tblStylePr>
    <w:tblStylePr w:type="neCell">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tcPr>
    </w:tblStylePr>
    <w:tblStylePr w:type="seCell">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112">
    <w:name w:val="Table 3D effects 2"/>
    <w:basedOn w:val="95"/>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3">
    <w:name w:val="Table 3D effects 3"/>
    <w:basedOn w:val="95"/>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50" w:color="C0C0C0" w:fill="FFFFFF"/>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4">
    <w:name w:val="Table List 1"/>
    <w:basedOn w:val="95"/>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Layout w:type="fixed"/>
      <w:tblCellMar>
        <w:top w:w="0" w:type="dxa"/>
        <w:left w:w="108" w:type="dxa"/>
        <w:bottom w:w="0" w:type="dxa"/>
        <w:right w:w="108" w:type="dxa"/>
      </w:tblCellMar>
    </w:tblPr>
    <w:tblStylePr w:type="firstRow">
      <w:rPr>
        <w:b/>
        <w:bCs/>
        <w:i/>
        <w:iCs/>
        <w:color w:val="800000"/>
      </w:rPr>
      <w:tblPr>
        <w:tblLayout w:type="fixed"/>
      </w:tblPr>
      <w:tcPr>
        <w:tcBorders>
          <w:top w:val="nil"/>
          <w:left w:val="single" w:color="000000" w:sz="6" w:space="0"/>
          <w:bottom w:val="nil"/>
          <w:right w:val="nil"/>
          <w:insideH w:val="nil"/>
          <w:insideV w:val="nil"/>
          <w:tl2br w:val="nil"/>
          <w:tr2bl w:val="nil"/>
        </w:tcBorders>
        <w:shd w:val="solid" w:color="C0C0C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solid" w:color="C0C0C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5">
    <w:name w:val="Table List 2"/>
    <w:basedOn w:val="95"/>
    <w:semiHidden/>
    <w:qFormat/>
    <w:uiPriority w:val="0"/>
    <w:pPr>
      <w:widowControl w:val="0"/>
      <w:jc w:val="both"/>
    </w:pPr>
    <w:tblPr>
      <w:tblBorders>
        <w:bottom w:val="single" w:color="808080" w:sz="12" w:space="0"/>
      </w:tblBorders>
      <w:tblLayout w:type="fixed"/>
      <w:tblCellMar>
        <w:top w:w="0" w:type="dxa"/>
        <w:left w:w="108" w:type="dxa"/>
        <w:bottom w:w="0" w:type="dxa"/>
        <w:right w:w="108" w:type="dxa"/>
      </w:tblCellMar>
    </w:tblPr>
    <w:tblStylePr w:type="firstRow">
      <w:rPr>
        <w:b/>
        <w:bCs/>
        <w:color w:val="FFFFFF"/>
      </w:rPr>
      <w:tblPr>
        <w:tblLayout w:type="fixed"/>
      </w:tblPr>
      <w:tcPr>
        <w:tcBorders>
          <w:top w:val="nil"/>
          <w:left w:val="single" w:color="000000" w:sz="6" w:space="0"/>
          <w:bottom w:val="nil"/>
          <w:right w:val="nil"/>
          <w:insideH w:val="nil"/>
          <w:insideV w:val="nil"/>
          <w:tl2br w:val="nil"/>
          <w:tr2bl w:val="nil"/>
        </w:tcBorders>
        <w:shd w:val="pct75" w:color="008080" w:fill="008000"/>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FF0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6">
    <w:name w:val="Table List 3"/>
    <w:basedOn w:val="95"/>
    <w:semiHidden/>
    <w:qFormat/>
    <w:uiPriority w:val="0"/>
    <w:pPr>
      <w:widowControl w:val="0"/>
      <w:jc w:val="both"/>
    </w:pPr>
    <w:tblPr>
      <w:tblBorders>
        <w:top w:val="single" w:color="000000" w:sz="12" w:space="0"/>
        <w:bottom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000080"/>
      </w:rPr>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swCell">
      <w:rPr>
        <w:i/>
        <w:iCs/>
        <w:color w:val="000080"/>
      </w:rPr>
      <w:tblPr>
        <w:tblLayout w:type="fixed"/>
      </w:tblPr>
      <w:tcPr>
        <w:tcBorders>
          <w:top w:val="nil"/>
          <w:left w:val="nil"/>
          <w:bottom w:val="nil"/>
          <w:right w:val="nil"/>
          <w:insideH w:val="nil"/>
          <w:insideV w:val="nil"/>
          <w:tl2br w:val="nil"/>
          <w:tr2bl w:val="nil"/>
        </w:tcBorders>
      </w:tcPr>
    </w:tblStylePr>
  </w:style>
  <w:style w:type="table" w:styleId="117">
    <w:name w:val="Table List 4"/>
    <w:basedOn w:val="95"/>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single" w:color="000000" w:sz="12" w:space="0"/>
          <w:bottom w:val="nil"/>
          <w:right w:val="nil"/>
          <w:insideH w:val="nil"/>
          <w:insideV w:val="nil"/>
          <w:tl2br w:val="nil"/>
          <w:tr2bl w:val="nil"/>
        </w:tcBorders>
        <w:shd w:val="solid" w:color="808080" w:fill="FFFFFF"/>
      </w:tcPr>
    </w:tblStylePr>
  </w:style>
  <w:style w:type="table" w:styleId="118">
    <w:name w:val="Table List 5"/>
    <w:basedOn w:val="95"/>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style>
  <w:style w:type="table" w:styleId="119">
    <w:name w:val="Table List 6"/>
    <w:basedOn w:val="95"/>
    <w:semiHidden/>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Layout w:type="fixed"/>
      <w:tblCellMar>
        <w:top w:w="0" w:type="dxa"/>
        <w:left w:w="108" w:type="dxa"/>
        <w:bottom w:w="0" w:type="dxa"/>
        <w:right w:w="108" w:type="dxa"/>
      </w:tblCellMar>
    </w:tblPr>
    <w:tcPr>
      <w:shd w:val="pct50" w:color="000000" w:fill="FFFFFF"/>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band1Horz">
      <w:tblPr>
        <w:tblLayout w:type="fixed"/>
      </w:tblPr>
      <w:tcPr>
        <w:tcBorders>
          <w:top w:val="nil"/>
          <w:left w:val="nil"/>
          <w:bottom w:val="nil"/>
          <w:right w:val="nil"/>
          <w:insideH w:val="nil"/>
          <w:insideV w:val="nil"/>
          <w:tl2br w:val="nil"/>
          <w:tr2bl w:val="nil"/>
        </w:tcBorders>
        <w:shd w:val="pct25" w:color="000000" w:fill="FFFFFF"/>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20">
    <w:name w:val="Table List 7"/>
    <w:basedOn w:val="95"/>
    <w:semiHidden/>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blPr>
        <w:tblLayout w:type="fixed"/>
      </w:tblPr>
      <w:tcPr>
        <w:tcBorders>
          <w:top w:val="nil"/>
          <w:left w:val="single" w:color="008000" w:sz="12" w:space="0"/>
          <w:bottom w:val="nil"/>
          <w:right w:val="nil"/>
          <w:insideH w:val="nil"/>
          <w:insideV w:val="nil"/>
          <w:tl2br w:val="nil"/>
          <w:tr2bl w:val="nil"/>
        </w:tcBorders>
        <w:shd w:val="solid" w:color="C0C0C0" w:fill="FFFFFF"/>
      </w:tcPr>
    </w:tblStylePr>
    <w:tblStylePr w:type="lastRow">
      <w:rPr>
        <w:b/>
        <w:bCs/>
      </w:rPr>
      <w:tblPr>
        <w:tblLayout w:type="fixed"/>
      </w:tblPr>
      <w:tcPr>
        <w:tcBorders>
          <w:top w:val="single" w:color="008000" w:sz="12"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2Horz">
      <w:tblPr>
        <w:tblLayout w:type="fixed"/>
      </w:tblPr>
      <w:tcPr>
        <w:tcBorders>
          <w:top w:val="nil"/>
          <w:left w:val="nil"/>
          <w:bottom w:val="nil"/>
          <w:right w:val="nil"/>
          <w:insideH w:val="nil"/>
          <w:insideV w:val="nil"/>
          <w:tl2br w:val="nil"/>
          <w:tr2bl w:val="nil"/>
        </w:tcBorders>
        <w:shd w:val="pct25" w:color="FFFF00" w:fill="FFFFFF"/>
      </w:tcPr>
    </w:tblStylePr>
  </w:style>
  <w:style w:type="table" w:styleId="121">
    <w:name w:val="Table List 8"/>
    <w:basedOn w:val="95"/>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000000" w:sz="6" w:space="0"/>
          <w:bottom w:val="nil"/>
          <w:right w:val="nil"/>
          <w:insideH w:val="nil"/>
          <w:insideV w:val="nil"/>
          <w:tl2br w:val="nil"/>
          <w:tr2bl w:val="nil"/>
        </w:tcBorders>
        <w:shd w:val="solid" w:color="FFFF00" w:fill="FFFFFF"/>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5" w:color="FFFF00" w:fill="FFFFFF"/>
      </w:tcPr>
    </w:tblStylePr>
    <w:tblStylePr w:type="band2Horz">
      <w:tblPr>
        <w:tblLayout w:type="fixed"/>
      </w:tblPr>
      <w:tcPr>
        <w:tcBorders>
          <w:top w:val="nil"/>
          <w:left w:val="nil"/>
          <w:bottom w:val="nil"/>
          <w:right w:val="nil"/>
          <w:insideH w:val="nil"/>
          <w:insideV w:val="nil"/>
          <w:tl2br w:val="nil"/>
          <w:tr2bl w:val="nil"/>
        </w:tcBorders>
        <w:shd w:val="pct50" w:color="FF0000" w:fill="FFFFFF"/>
      </w:tcPr>
    </w:tblStylePr>
    <w:tblStylePr w:type="nwCell">
      <w:tblPr>
        <w:tblLayout w:type="fixed"/>
      </w:tblPr>
      <w:tcPr>
        <w:tcBorders>
          <w:top w:val="nil"/>
          <w:left w:val="nil"/>
          <w:bottom w:val="nil"/>
          <w:right w:val="nil"/>
          <w:insideH w:val="nil"/>
          <w:insideV w:val="nil"/>
          <w:tl2br w:val="single" w:color="auto" w:sz="6" w:space="0"/>
          <w:tr2bl w:val="nil"/>
        </w:tcBorders>
      </w:tcPr>
    </w:tblStylePr>
  </w:style>
  <w:style w:type="table" w:styleId="122">
    <w:name w:val="Table Contemporary"/>
    <w:basedOn w:val="95"/>
    <w:semiHidden/>
    <w:qFormat/>
    <w:uiPriority w:val="0"/>
    <w:pPr>
      <w:widowControl w:val="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1Horz">
      <w:rPr>
        <w:color w:val="auto"/>
      </w:rPr>
      <w:tblPr>
        <w:tblLayout w:type="fixed"/>
      </w:tblPr>
      <w:tcPr>
        <w:tcBorders>
          <w:top w:val="nil"/>
          <w:left w:val="nil"/>
          <w:bottom w:val="nil"/>
          <w:right w:val="nil"/>
          <w:insideH w:val="nil"/>
          <w:insideV w:val="nil"/>
          <w:tl2br w:val="nil"/>
          <w:tr2bl w:val="nil"/>
        </w:tcBorders>
        <w:shd w:val="pct5" w:color="000000" w:fill="FFFFFF"/>
      </w:tcPr>
    </w:tblStylePr>
    <w:tblStylePr w:type="band2Horz">
      <w:rPr>
        <w:color w:val="auto"/>
      </w:rPr>
      <w:tblPr>
        <w:tblLayout w:type="fixed"/>
      </w:tblPr>
      <w:tcPr>
        <w:tcBorders>
          <w:top w:val="nil"/>
          <w:left w:val="nil"/>
          <w:bottom w:val="nil"/>
          <w:right w:val="nil"/>
          <w:insideH w:val="nil"/>
          <w:insideV w:val="nil"/>
          <w:tl2br w:val="nil"/>
          <w:tr2bl w:val="nil"/>
        </w:tcBorders>
        <w:shd w:val="pct20" w:color="000000" w:fill="FFFFFF"/>
      </w:tcPr>
    </w:tblStylePr>
  </w:style>
  <w:style w:type="table" w:styleId="123">
    <w:name w:val="Table Columns 1"/>
    <w:basedOn w:val="95"/>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blStylePr w:type="firstRow">
      <w:rPr>
        <w:b w:val="0"/>
        <w:bCs w:val="0"/>
      </w:rPr>
      <w:tblPr>
        <w:tblLayout w:type="fixed"/>
      </w:tblPr>
      <w:tcPr>
        <w:tcBorders>
          <w:top w:val="nil"/>
          <w:left w:val="double" w:color="000000" w:sz="6" w:space="0"/>
          <w:bottom w:val="nil"/>
          <w:right w:val="nil"/>
          <w:insideH w:val="nil"/>
          <w:insideV w:val="nil"/>
          <w:tl2br w:val="nil"/>
          <w:tr2bl w:val="nil"/>
        </w:tcBorders>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25" w:color="000000" w:fill="FFFFFF"/>
      </w:tcPr>
    </w:tblStylePr>
    <w:tblStylePr w:type="band2Vert">
      <w:rPr>
        <w:color w:val="auto"/>
      </w:rPr>
      <w:tblPr>
        <w:tblLayout w:type="fixed"/>
      </w:tblPr>
      <w:tcPr>
        <w:shd w:val="pct25" w:color="FF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24">
    <w:name w:val="Table Columns 2"/>
    <w:basedOn w:val="95"/>
    <w:semiHidden/>
    <w:qFormat/>
    <w:uiPriority w:val="0"/>
    <w:pPr>
      <w:widowControl w:val="0"/>
      <w:jc w:val="both"/>
    </w:pPr>
    <w:rPr>
      <w:b/>
      <w:bCs/>
    </w:r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color w:val="00000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30" w:color="000000" w:fill="FFFFFF"/>
      </w:tcPr>
    </w:tblStylePr>
    <w:tblStylePr w:type="band2Vert">
      <w:rPr>
        <w:color w:val="auto"/>
      </w:rPr>
      <w:tblPr>
        <w:tblLayout w:type="fixed"/>
      </w:tblPr>
      <w:tcPr>
        <w:shd w:val="pct25" w:color="00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25">
    <w:name w:val="Table Columns 3"/>
    <w:basedOn w:val="95"/>
    <w:semiHidden/>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single" w:color="00008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10" w:color="000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style>
  <w:style w:type="table" w:styleId="126">
    <w:name w:val="Table Columns 4"/>
    <w:basedOn w:val="95"/>
    <w:semiHidden/>
    <w:qFormat/>
    <w:uiPriority w:val="0"/>
    <w:pPr>
      <w:widowControl w:val="0"/>
      <w:jc w:val="both"/>
    </w:p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50" w:color="008080" w:fill="FFFFFF"/>
      </w:tcPr>
    </w:tblStylePr>
    <w:tblStylePr w:type="band2Vert">
      <w:rPr>
        <w:color w:val="auto"/>
      </w:rPr>
      <w:tblPr>
        <w:tblLayout w:type="fixed"/>
      </w:tblPr>
      <w:tcPr>
        <w:shd w:val="pct10" w:color="000000" w:fill="FFFFFF"/>
      </w:tcPr>
    </w:tblStylePr>
  </w:style>
  <w:style w:type="table" w:styleId="127">
    <w:name w:val="Table Columns 5"/>
    <w:basedOn w:val="95"/>
    <w:semiHidden/>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808080" w:sz="6" w:space="0"/>
          <w:bottom w:val="nil"/>
          <w:right w:val="nil"/>
          <w:insideH w:val="nil"/>
          <w:insideV w:val="nil"/>
          <w:tl2br w:val="nil"/>
          <w:tr2bl w:val="nil"/>
        </w:tcBorders>
      </w:tcPr>
    </w:tblStylePr>
    <w:tblStylePr w:type="lastRow">
      <w:rPr>
        <w:b/>
        <w:bCs/>
      </w:rPr>
      <w:tblPr>
        <w:tblLayout w:type="fixed"/>
      </w:tblPr>
      <w:tcPr>
        <w:tcBorders>
          <w:top w:val="single" w:color="80808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StylePr>
  </w:style>
  <w:style w:type="table" w:styleId="128">
    <w:name w:val="Table Grid 1"/>
    <w:basedOn w:val="95"/>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lastRow">
      <w:rPr>
        <w:i/>
        <w:iCs/>
      </w:rPr>
      <w:tblPr>
        <w:tblLayout w:type="fixed"/>
      </w:tblPr>
      <w:tcPr>
        <w:tcBorders>
          <w:top w:val="nil"/>
          <w:left w:val="nil"/>
          <w:bottom w:val="nil"/>
          <w:right w:val="nil"/>
          <w:insideH w:val="nil"/>
          <w:insideV w:val="nil"/>
          <w:tl2br w:val="nil"/>
          <w:tr2bl w:val="nil"/>
        </w:tcBorders>
      </w:tcPr>
    </w:tblStylePr>
    <w:tblStylePr w:type="lastCol">
      <w:rPr>
        <w:i/>
        <w:i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29">
    <w:name w:val="Table Grid 2"/>
    <w:basedOn w:val="95"/>
    <w:semiHidden/>
    <w:qFormat/>
    <w:uiPriority w:val="0"/>
    <w:pPr>
      <w:widowControl w:val="0"/>
      <w:jc w:val="both"/>
    </w:pPr>
    <w:tblPr>
      <w:tblBorders>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nil"/>
          <w:bottom w:val="nil"/>
          <w:right w:val="nil"/>
          <w:insideH w:val="nil"/>
          <w:insideV w:val="nil"/>
          <w:tl2br w:val="nil"/>
          <w:tr2bl w:val="nil"/>
        </w:tcBorders>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style>
  <w:style w:type="table" w:styleId="130">
    <w:name w:val="Table Grid 3"/>
    <w:basedOn w:val="95"/>
    <w:semiHidden/>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31">
    <w:name w:val="Table Grid 4"/>
    <w:basedOn w:val="95"/>
    <w:semiHidden/>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olor w:val="auto"/>
      </w:rPr>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32">
    <w:name w:val="Table Grid 5"/>
    <w:basedOn w:val="95"/>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33">
    <w:name w:val="Table Grid 6"/>
    <w:basedOn w:val="95"/>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34">
    <w:name w:val="Table Grid 7"/>
    <w:basedOn w:val="95"/>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val="0"/>
        <w:bCs w:val="0"/>
      </w:rPr>
      <w:tblPr>
        <w:tblLayout w:type="fixed"/>
      </w:tblPr>
      <w:tcPr>
        <w:tcBorders>
          <w:top w:val="nil"/>
          <w:left w:val="single" w:color="000000" w:sz="12" w:space="0"/>
          <w:bottom w:val="nil"/>
          <w:right w:val="nil"/>
          <w:insideH w:val="nil"/>
          <w:insideV w:val="nil"/>
          <w:tl2br w:val="nil"/>
          <w:tr2bl w:val="nil"/>
        </w:tcBorders>
      </w:tcPr>
    </w:tblStylePr>
    <w:tblStylePr w:type="lastRow">
      <w:rPr>
        <w:b w:val="0"/>
        <w:bCs w:val="0"/>
      </w:rPr>
      <w:tblPr>
        <w:tblLayout w:type="fixed"/>
      </w:tblPr>
      <w:tcPr>
        <w:tcBorders>
          <w:top w:val="single" w:color="00000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35">
    <w:name w:val="Table Grid 8"/>
    <w:basedOn w:val="95"/>
    <w:semiHidden/>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blLayout w:type="fixed"/>
      </w:tblPr>
      <w:tcPr>
        <w:tcBorders>
          <w:top w:val="nil"/>
          <w:left w:val="nil"/>
          <w:bottom w:val="nil"/>
          <w:right w:val="nil"/>
          <w:insideH w:val="nil"/>
          <w:insideV w:val="nil"/>
          <w:tl2br w:val="nil"/>
          <w:tr2bl w:val="nil"/>
        </w:tcBorders>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36">
    <w:name w:val="Table Web 1"/>
    <w:basedOn w:val="95"/>
    <w:semiHidden/>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37">
    <w:name w:val="Table Web 2"/>
    <w:basedOn w:val="95"/>
    <w:semiHidden/>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38">
    <w:name w:val="Table Web 3"/>
    <w:basedOn w:val="95"/>
    <w:semiHidden/>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39">
    <w:name w:val="Table Professional"/>
    <w:basedOn w:val="95"/>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blPr>
        <w:tblLayout w:type="fixed"/>
      </w:tblPr>
      <w:tcPr>
        <w:tcBorders>
          <w:top w:val="nil"/>
          <w:left w:val="nil"/>
          <w:bottom w:val="nil"/>
          <w:right w:val="nil"/>
          <w:insideH w:val="nil"/>
          <w:insideV w:val="nil"/>
          <w:tl2br w:val="nil"/>
          <w:tr2bl w:val="nil"/>
        </w:tcBorders>
        <w:shd w:val="solid" w:color="000000" w:fill="FFFFFF"/>
      </w:tcPr>
    </w:tblStylePr>
  </w:style>
  <w:style w:type="character" w:customStyle="1" w:styleId="140">
    <w:name w:val="标题 1 Char"/>
    <w:link w:val="3"/>
    <w:qFormat/>
    <w:uiPriority w:val="0"/>
    <w:rPr>
      <w:rFonts w:eastAsia="宋体"/>
      <w:b/>
      <w:bCs/>
      <w:kern w:val="44"/>
      <w:sz w:val="32"/>
      <w:szCs w:val="44"/>
      <w:lang w:val="en-US" w:eastAsia="zh-CN" w:bidi="ar-SA"/>
    </w:rPr>
  </w:style>
  <w:style w:type="character" w:customStyle="1" w:styleId="141">
    <w:name w:val="标题 2 Char"/>
    <w:qFormat/>
    <w:uiPriority w:val="0"/>
    <w:rPr>
      <w:rFonts w:ascii="Arial" w:hAnsi="Arial" w:eastAsia="黑体"/>
      <w:b/>
      <w:bCs/>
      <w:kern w:val="2"/>
      <w:sz w:val="32"/>
      <w:szCs w:val="32"/>
      <w:lang w:val="en-US" w:eastAsia="zh-CN" w:bidi="ar-SA"/>
    </w:rPr>
  </w:style>
  <w:style w:type="character" w:customStyle="1" w:styleId="142">
    <w:name w:val="页眉 Char1"/>
    <w:link w:val="52"/>
    <w:qFormat/>
    <w:uiPriority w:val="0"/>
    <w:rPr>
      <w:rFonts w:eastAsia="宋体"/>
      <w:kern w:val="2"/>
      <w:sz w:val="21"/>
      <w:szCs w:val="24"/>
      <w:lang w:bidi="ar-SA"/>
    </w:rPr>
  </w:style>
  <w:style w:type="character" w:customStyle="1" w:styleId="143">
    <w:name w:val="标题 3 Char"/>
    <w:link w:val="5"/>
    <w:qFormat/>
    <w:uiPriority w:val="0"/>
    <w:rPr>
      <w:rFonts w:eastAsia="宋体"/>
      <w:b/>
      <w:bCs/>
      <w:kern w:val="2"/>
      <w:sz w:val="24"/>
      <w:szCs w:val="32"/>
      <w:lang w:val="en-US" w:eastAsia="zh-CN" w:bidi="ar-SA"/>
    </w:rPr>
  </w:style>
  <w:style w:type="character" w:customStyle="1" w:styleId="144">
    <w:name w:val="页脚 Char1"/>
    <w:link w:val="49"/>
    <w:qFormat/>
    <w:uiPriority w:val="0"/>
    <w:rPr>
      <w:rFonts w:eastAsia="宋体"/>
      <w:kern w:val="2"/>
      <w:sz w:val="18"/>
      <w:szCs w:val="18"/>
      <w:lang w:bidi="ar-SA"/>
    </w:rPr>
  </w:style>
  <w:style w:type="character" w:customStyle="1" w:styleId="145">
    <w:name w:val="样式 Arial"/>
    <w:qFormat/>
    <w:uiPriority w:val="0"/>
    <w:rPr>
      <w:rFonts w:hint="default" w:ascii="Times New Roman" w:hAnsi="Times New Roman" w:eastAsia="宋体" w:cs="Times New Roman"/>
      <w:sz w:val="21"/>
      <w:szCs w:val="21"/>
    </w:rPr>
  </w:style>
  <w:style w:type="character" w:customStyle="1" w:styleId="146">
    <w:name w:val="页脚 Char"/>
    <w:qFormat/>
    <w:uiPriority w:val="99"/>
    <w:rPr>
      <w:rFonts w:eastAsia="宋体"/>
      <w:kern w:val="2"/>
      <w:sz w:val="18"/>
      <w:lang w:val="en-US" w:eastAsia="zh-CN" w:bidi="ar-SA"/>
    </w:rPr>
  </w:style>
  <w:style w:type="character" w:customStyle="1" w:styleId="147">
    <w:name w:val="批注框文本 Char"/>
    <w:link w:val="48"/>
    <w:qFormat/>
    <w:uiPriority w:val="0"/>
    <w:rPr>
      <w:rFonts w:eastAsia="宋体"/>
      <w:kern w:val="2"/>
      <w:sz w:val="18"/>
      <w:szCs w:val="18"/>
      <w:lang w:val="en-US" w:eastAsia="zh-CN" w:bidi="ar-SA"/>
    </w:rPr>
  </w:style>
  <w:style w:type="character" w:customStyle="1" w:styleId="148">
    <w:name w:val="标题 2 Char1"/>
    <w:link w:val="4"/>
    <w:qFormat/>
    <w:uiPriority w:val="0"/>
    <w:rPr>
      <w:rFonts w:ascii="Arial" w:hAnsi="Arial" w:eastAsia="黑体"/>
      <w:b/>
      <w:bCs/>
      <w:kern w:val="2"/>
      <w:sz w:val="32"/>
      <w:szCs w:val="32"/>
      <w:lang w:val="en-US" w:eastAsia="zh-CN" w:bidi="ar-SA"/>
    </w:rPr>
  </w:style>
  <w:style w:type="character" w:customStyle="1" w:styleId="149">
    <w:name w:val="脚注文本 Char"/>
    <w:qFormat/>
    <w:uiPriority w:val="0"/>
    <w:rPr>
      <w:rFonts w:eastAsia="宋体"/>
      <w:kern w:val="2"/>
      <w:sz w:val="18"/>
      <w:lang w:val="en-US" w:eastAsia="zh-CN" w:bidi="ar-SA"/>
    </w:rPr>
  </w:style>
  <w:style w:type="character" w:customStyle="1" w:styleId="150">
    <w:name w:val="页眉 Char"/>
    <w:qFormat/>
    <w:uiPriority w:val="99"/>
    <w:rPr>
      <w:rFonts w:eastAsia="宋体"/>
      <w:kern w:val="2"/>
      <w:sz w:val="18"/>
      <w:lang w:val="en-US" w:eastAsia="zh-CN" w:bidi="ar-SA"/>
    </w:rPr>
  </w:style>
  <w:style w:type="character" w:customStyle="1" w:styleId="151">
    <w:name w:val="文档结构图 Char"/>
    <w:link w:val="26"/>
    <w:qFormat/>
    <w:uiPriority w:val="0"/>
    <w:rPr>
      <w:rFonts w:ascii="Tahoma" w:hAnsi="Tahoma" w:eastAsia="宋体"/>
      <w:kern w:val="2"/>
      <w:sz w:val="16"/>
      <w:szCs w:val="16"/>
      <w:lang w:bidi="ar-SA"/>
    </w:rPr>
  </w:style>
  <w:style w:type="character" w:customStyle="1" w:styleId="152">
    <w:name w:val="3z Char"/>
    <w:link w:val="153"/>
    <w:qFormat/>
    <w:locked/>
    <w:uiPriority w:val="0"/>
    <w:rPr>
      <w:rFonts w:ascii="EU-F1" w:eastAsia="黑体"/>
      <w:kern w:val="2"/>
      <w:sz w:val="21"/>
      <w:szCs w:val="21"/>
      <w:lang w:val="en-US" w:eastAsia="zh-CN" w:bidi="ar-SA"/>
    </w:rPr>
  </w:style>
  <w:style w:type="paragraph" w:customStyle="1" w:styleId="153">
    <w:name w:val="3z"/>
    <w:basedOn w:val="1"/>
    <w:link w:val="152"/>
    <w:qFormat/>
    <w:uiPriority w:val="0"/>
    <w:pPr>
      <w:topLinePunct/>
      <w:spacing w:line="312" w:lineRule="exact"/>
    </w:pPr>
    <w:rPr>
      <w:rFonts w:ascii="EU-F1" w:hAnsi="Calibri" w:eastAsia="黑体"/>
      <w:szCs w:val="21"/>
    </w:rPr>
  </w:style>
  <w:style w:type="character" w:customStyle="1" w:styleId="154">
    <w:name w:val="Char Char8"/>
    <w:qFormat/>
    <w:uiPriority w:val="0"/>
    <w:rPr>
      <w:rFonts w:ascii="Arial" w:hAnsi="Arial" w:eastAsia="黑体"/>
      <w:b/>
      <w:bCs/>
      <w:kern w:val="2"/>
      <w:sz w:val="32"/>
      <w:szCs w:val="32"/>
      <w:lang w:val="en-US" w:eastAsia="zh-CN" w:bidi="ar-SA"/>
    </w:rPr>
  </w:style>
  <w:style w:type="character" w:customStyle="1" w:styleId="155">
    <w:name w:val="font11"/>
    <w:basedOn w:val="77"/>
    <w:qFormat/>
    <w:uiPriority w:val="0"/>
    <w:rPr>
      <w:rFonts w:hint="eastAsia" w:ascii="宋体" w:hAnsi="宋体" w:eastAsia="宋体" w:cs="宋体"/>
      <w:color w:val="000000"/>
      <w:sz w:val="20"/>
      <w:szCs w:val="20"/>
      <w:u w:val="none"/>
    </w:rPr>
  </w:style>
  <w:style w:type="character" w:customStyle="1" w:styleId="156">
    <w:name w:val="样式6 Char"/>
    <w:link w:val="157"/>
    <w:qFormat/>
    <w:uiPriority w:val="0"/>
    <w:rPr>
      <w:rFonts w:eastAsia="黑体"/>
      <w:kern w:val="2"/>
      <w:sz w:val="21"/>
      <w:szCs w:val="21"/>
      <w:lang w:val="en-US" w:eastAsia="zh-CN" w:bidi="ar-SA"/>
    </w:rPr>
  </w:style>
  <w:style w:type="paragraph" w:customStyle="1" w:styleId="157">
    <w:name w:val="样式6"/>
    <w:basedOn w:val="1"/>
    <w:link w:val="156"/>
    <w:qFormat/>
    <w:uiPriority w:val="0"/>
    <w:pPr>
      <w:topLinePunct/>
      <w:spacing w:before="160" w:after="60"/>
      <w:jc w:val="center"/>
    </w:pPr>
    <w:rPr>
      <w:rFonts w:ascii="Calibri" w:hAnsi="Calibri" w:eastAsia="黑体"/>
      <w:szCs w:val="21"/>
    </w:rPr>
  </w:style>
  <w:style w:type="character" w:customStyle="1" w:styleId="158">
    <w:name w:val="批注文字 Char"/>
    <w:link w:val="14"/>
    <w:qFormat/>
    <w:uiPriority w:val="99"/>
    <w:rPr>
      <w:rFonts w:eastAsia="宋体"/>
      <w:kern w:val="2"/>
      <w:sz w:val="21"/>
      <w:szCs w:val="24"/>
      <w:lang w:val="en-US" w:eastAsia="zh-CN" w:bidi="ar-SA"/>
    </w:rPr>
  </w:style>
  <w:style w:type="character" w:customStyle="1" w:styleId="159">
    <w:name w:val="Char Char1"/>
    <w:qFormat/>
    <w:uiPriority w:val="0"/>
    <w:rPr>
      <w:rFonts w:eastAsia="华文仿宋"/>
      <w:kern w:val="2"/>
      <w:sz w:val="18"/>
      <w:lang w:val="en-US" w:eastAsia="zh-CN"/>
    </w:rPr>
  </w:style>
  <w:style w:type="character" w:customStyle="1" w:styleId="160">
    <w:name w:val="纯文本 Char"/>
    <w:link w:val="40"/>
    <w:qFormat/>
    <w:uiPriority w:val="0"/>
    <w:rPr>
      <w:rFonts w:ascii="宋体" w:hAnsi="Courier New" w:eastAsia="宋体" w:cs="Courier New"/>
      <w:kern w:val="2"/>
      <w:sz w:val="21"/>
      <w:szCs w:val="21"/>
      <w:lang w:val="en-US" w:eastAsia="zh-CN" w:bidi="ar-SA"/>
    </w:rPr>
  </w:style>
  <w:style w:type="character" w:customStyle="1" w:styleId="161">
    <w:name w:val="正文格式 Char"/>
    <w:link w:val="162"/>
    <w:qFormat/>
    <w:uiPriority w:val="0"/>
    <w:rPr>
      <w:rFonts w:ascii="宋体" w:hAnsi="宋体" w:eastAsia="宋体"/>
      <w:bCs/>
      <w:kern w:val="2"/>
      <w:sz w:val="21"/>
      <w:szCs w:val="21"/>
      <w:lang w:val="en-US" w:eastAsia="zh-CN" w:bidi="ar-SA"/>
    </w:rPr>
  </w:style>
  <w:style w:type="paragraph" w:customStyle="1" w:styleId="162">
    <w:name w:val="正文格式"/>
    <w:basedOn w:val="1"/>
    <w:link w:val="161"/>
    <w:qFormat/>
    <w:uiPriority w:val="0"/>
    <w:pPr>
      <w:topLinePunct/>
      <w:ind w:firstLine="420" w:firstLineChars="200"/>
    </w:pPr>
    <w:rPr>
      <w:rFonts w:ascii="宋体" w:hAnsi="宋体"/>
      <w:bCs/>
      <w:szCs w:val="21"/>
    </w:rPr>
  </w:style>
  <w:style w:type="character" w:customStyle="1" w:styleId="163">
    <w:name w:val="Char Char10"/>
    <w:qFormat/>
    <w:uiPriority w:val="0"/>
    <w:rPr>
      <w:b/>
      <w:kern w:val="2"/>
      <w:sz w:val="28"/>
    </w:rPr>
  </w:style>
  <w:style w:type="character" w:customStyle="1" w:styleId="164">
    <w:name w:val="jl 三级 Char Char"/>
    <w:link w:val="165"/>
    <w:qFormat/>
    <w:uiPriority w:val="0"/>
    <w:rPr>
      <w:rFonts w:ascii="宋体" w:hAnsi="宋体" w:eastAsia="宋体"/>
      <w:b/>
      <w:color w:val="000000"/>
      <w:kern w:val="2"/>
      <w:sz w:val="24"/>
      <w:szCs w:val="24"/>
      <w:lang w:val="en-US" w:eastAsia="zh-CN" w:bidi="ar-SA"/>
    </w:rPr>
  </w:style>
  <w:style w:type="paragraph" w:customStyle="1" w:styleId="165">
    <w:name w:val="jl 三级 Char"/>
    <w:basedOn w:val="1"/>
    <w:link w:val="164"/>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66">
    <w:name w:val="font41"/>
    <w:basedOn w:val="77"/>
    <w:qFormat/>
    <w:uiPriority w:val="0"/>
    <w:rPr>
      <w:rFonts w:hint="eastAsia" w:ascii="宋体" w:hAnsi="宋体" w:eastAsia="宋体" w:cs="宋体"/>
      <w:color w:val="000000"/>
      <w:sz w:val="36"/>
      <w:szCs w:val="36"/>
      <w:u w:val="none"/>
    </w:rPr>
  </w:style>
  <w:style w:type="character" w:customStyle="1" w:styleId="167">
    <w:name w:val="Char Char16"/>
    <w:qFormat/>
    <w:uiPriority w:val="0"/>
    <w:rPr>
      <w:rFonts w:ascii="Arial" w:hAnsi="Arial" w:eastAsia="黑体"/>
      <w:b/>
      <w:bCs/>
      <w:kern w:val="2"/>
      <w:sz w:val="32"/>
      <w:szCs w:val="32"/>
      <w:lang w:val="en-US" w:eastAsia="zh-CN" w:bidi="ar-SA"/>
    </w:rPr>
  </w:style>
  <w:style w:type="character" w:customStyle="1" w:styleId="168">
    <w:name w:val="Char Char9"/>
    <w:qFormat/>
    <w:uiPriority w:val="0"/>
    <w:rPr>
      <w:kern w:val="2"/>
      <w:sz w:val="18"/>
      <w:szCs w:val="18"/>
    </w:rPr>
  </w:style>
  <w:style w:type="character" w:customStyle="1" w:styleId="169">
    <w:name w:val="font21"/>
    <w:basedOn w:val="77"/>
    <w:qFormat/>
    <w:uiPriority w:val="0"/>
    <w:rPr>
      <w:rFonts w:ascii="Arial" w:hAnsi="Arial" w:cs="Arial"/>
      <w:color w:val="000000"/>
      <w:sz w:val="24"/>
      <w:szCs w:val="24"/>
      <w:u w:val="none"/>
    </w:rPr>
  </w:style>
  <w:style w:type="character" w:customStyle="1" w:styleId="170">
    <w:name w:val="Char Char11"/>
    <w:qFormat/>
    <w:uiPriority w:val="0"/>
    <w:rPr>
      <w:rFonts w:ascii="Arial" w:hAnsi="Arial" w:eastAsia="黑体"/>
      <w:b/>
      <w:kern w:val="2"/>
      <w:sz w:val="32"/>
    </w:rPr>
  </w:style>
  <w:style w:type="character" w:customStyle="1" w:styleId="171">
    <w:name w:val="正文文本缩进 2 Char"/>
    <w:link w:val="45"/>
    <w:semiHidden/>
    <w:qFormat/>
    <w:locked/>
    <w:uiPriority w:val="0"/>
    <w:rPr>
      <w:rFonts w:ascii="宋体" w:eastAsia="宋体"/>
      <w:color w:val="000000"/>
      <w:kern w:val="2"/>
      <w:sz w:val="24"/>
      <w:szCs w:val="24"/>
      <w:lang w:val="en-US" w:eastAsia="zh-CN" w:bidi="ar-SA"/>
    </w:rPr>
  </w:style>
  <w:style w:type="character" w:customStyle="1" w:styleId="172">
    <w:name w:val="Footnote Text Char1"/>
    <w:qFormat/>
    <w:uiPriority w:val="0"/>
    <w:rPr>
      <w:kern w:val="2"/>
    </w:rPr>
  </w:style>
  <w:style w:type="character" w:customStyle="1" w:styleId="173">
    <w:name w:val="脚注文本 Char1"/>
    <w:qFormat/>
    <w:uiPriority w:val="0"/>
    <w:rPr>
      <w:kern w:val="2"/>
      <w:sz w:val="18"/>
      <w:szCs w:val="18"/>
    </w:rPr>
  </w:style>
  <w:style w:type="character" w:customStyle="1" w:styleId="174">
    <w:name w:val="脚注文本 Char2"/>
    <w:link w:val="62"/>
    <w:qFormat/>
    <w:uiPriority w:val="0"/>
    <w:rPr>
      <w:sz w:val="18"/>
      <w:lang w:bidi="ar-SA"/>
    </w:rPr>
  </w:style>
  <w:style w:type="character" w:customStyle="1" w:styleId="175">
    <w:name w:val="jl 正文 Char Char Char"/>
    <w:link w:val="176"/>
    <w:qFormat/>
    <w:uiPriority w:val="0"/>
    <w:rPr>
      <w:rFonts w:ascii="宋体" w:eastAsia="宋体"/>
      <w:kern w:val="2"/>
      <w:sz w:val="24"/>
      <w:szCs w:val="24"/>
      <w:lang w:val="en-US" w:eastAsia="zh-CN" w:bidi="ar-SA"/>
    </w:rPr>
  </w:style>
  <w:style w:type="paragraph" w:customStyle="1" w:styleId="176">
    <w:name w:val="jl 正文 Char Char"/>
    <w:basedOn w:val="1"/>
    <w:link w:val="175"/>
    <w:semiHidden/>
    <w:qFormat/>
    <w:uiPriority w:val="0"/>
    <w:pPr>
      <w:autoSpaceDE w:val="0"/>
      <w:autoSpaceDN w:val="0"/>
      <w:adjustRightInd w:val="0"/>
      <w:ind w:firstLine="200" w:firstLineChars="200"/>
      <w:jc w:val="left"/>
      <w:textAlignment w:val="baseline"/>
    </w:pPr>
    <w:rPr>
      <w:rFonts w:ascii="宋体" w:hAnsi="Calibri"/>
      <w:sz w:val="24"/>
    </w:rPr>
  </w:style>
  <w:style w:type="character" w:customStyle="1" w:styleId="177">
    <w:name w:val="font01"/>
    <w:basedOn w:val="77"/>
    <w:qFormat/>
    <w:uiPriority w:val="0"/>
    <w:rPr>
      <w:rFonts w:hint="default" w:ascii="Arial" w:hAnsi="Arial" w:cs="Arial"/>
      <w:color w:val="000000"/>
      <w:sz w:val="20"/>
      <w:szCs w:val="20"/>
      <w:u w:val="none"/>
    </w:rPr>
  </w:style>
  <w:style w:type="character" w:customStyle="1" w:styleId="178">
    <w:name w:val="font31"/>
    <w:basedOn w:val="77"/>
    <w:qFormat/>
    <w:uiPriority w:val="0"/>
    <w:rPr>
      <w:rFonts w:ascii="Arial" w:hAnsi="Arial" w:cs="Arial"/>
      <w:color w:val="000000"/>
      <w:sz w:val="36"/>
      <w:szCs w:val="36"/>
      <w:u w:val="none"/>
    </w:rPr>
  </w:style>
  <w:style w:type="character" w:customStyle="1" w:styleId="179">
    <w:name w:val="Char Char7"/>
    <w:qFormat/>
    <w:uiPriority w:val="0"/>
    <w:rPr>
      <w:b/>
      <w:kern w:val="44"/>
      <w:sz w:val="44"/>
    </w:rPr>
  </w:style>
  <w:style w:type="character" w:customStyle="1" w:styleId="180">
    <w:name w:val="Char Char12"/>
    <w:qFormat/>
    <w:uiPriority w:val="0"/>
    <w:rPr>
      <w:b/>
      <w:kern w:val="44"/>
      <w:sz w:val="44"/>
    </w:rPr>
  </w:style>
  <w:style w:type="character" w:customStyle="1" w:styleId="181">
    <w:name w:val="表头 Char"/>
    <w:link w:val="182"/>
    <w:qFormat/>
    <w:uiPriority w:val="0"/>
    <w:rPr>
      <w:rFonts w:eastAsia="黑体"/>
      <w:kern w:val="2"/>
      <w:sz w:val="21"/>
      <w:szCs w:val="21"/>
      <w:lang w:val="en-US" w:eastAsia="zh-CN" w:bidi="ar-SA"/>
    </w:rPr>
  </w:style>
  <w:style w:type="paragraph" w:customStyle="1" w:styleId="182">
    <w:name w:val="表头"/>
    <w:basedOn w:val="1"/>
    <w:link w:val="181"/>
    <w:qFormat/>
    <w:uiPriority w:val="0"/>
    <w:pPr>
      <w:topLinePunct/>
      <w:spacing w:before="160" w:after="60"/>
      <w:jc w:val="center"/>
    </w:pPr>
    <w:rPr>
      <w:rFonts w:ascii="Calibri" w:hAnsi="Calibri" w:eastAsia="黑体"/>
      <w:szCs w:val="21"/>
    </w:rPr>
  </w:style>
  <w:style w:type="paragraph" w:customStyle="1" w:styleId="183">
    <w:name w:val="jl 正文"/>
    <w:basedOn w:val="1"/>
    <w:semiHidden/>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184">
    <w:name w:val="xl49"/>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85">
    <w:name w:val="样式2"/>
    <w:basedOn w:val="4"/>
    <w:semiHidden/>
    <w:qFormat/>
    <w:uiPriority w:val="0"/>
    <w:pPr>
      <w:tabs>
        <w:tab w:val="left" w:pos="567"/>
        <w:tab w:val="left" w:pos="850"/>
      </w:tabs>
      <w:topLinePunct/>
      <w:spacing w:before="0" w:after="0" w:line="960" w:lineRule="auto"/>
      <w:ind w:firstLine="420"/>
      <w:jc w:val="left"/>
    </w:pPr>
    <w:rPr>
      <w:rFonts w:ascii="Times New Roman" w:hAnsi="Times New Roman"/>
      <w:bCs w:val="0"/>
      <w:sz w:val="36"/>
      <w:szCs w:val="36"/>
    </w:rPr>
  </w:style>
  <w:style w:type="paragraph" w:customStyle="1" w:styleId="186">
    <w:name w:val="xl43"/>
    <w:basedOn w:val="1"/>
    <w:semiHidden/>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87">
    <w:name w:val="xl3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188">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189">
    <w:name w:val="节小标题"/>
    <w:basedOn w:val="10"/>
    <w:semiHidden/>
    <w:qFormat/>
    <w:uiPriority w:val="0"/>
    <w:pPr>
      <w:adjustRightInd w:val="0"/>
      <w:snapToGrid w:val="0"/>
      <w:spacing w:before="100" w:after="0" w:line="300" w:lineRule="auto"/>
      <w:ind w:firstLine="359"/>
      <w:outlineLvl w:val="9"/>
    </w:pPr>
    <w:rPr>
      <w:rFonts w:ascii="Times New Roman" w:hAnsi="Times New Roman" w:eastAsia="仿宋_GB2312"/>
      <w:sz w:val="30"/>
      <w:szCs w:val="20"/>
    </w:rPr>
  </w:style>
  <w:style w:type="paragraph" w:customStyle="1" w:styleId="190">
    <w:name w:val="样式7"/>
    <w:basedOn w:val="1"/>
    <w:qFormat/>
    <w:uiPriority w:val="0"/>
    <w:pPr>
      <w:snapToGrid w:val="0"/>
    </w:pPr>
  </w:style>
  <w:style w:type="paragraph" w:customStyle="1" w:styleId="191">
    <w:name w:val="xl2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92">
    <w:name w:val="图形标题"/>
    <w:basedOn w:val="23"/>
    <w:semiHidden/>
    <w:qFormat/>
    <w:uiPriority w:val="0"/>
    <w:pPr>
      <w:spacing w:before="0" w:after="0"/>
      <w:jc w:val="center"/>
    </w:pPr>
    <w:rPr>
      <w:rFonts w:ascii="宋体" w:hAnsi="Plotter" w:eastAsia="宋体"/>
      <w:sz w:val="21"/>
    </w:rPr>
  </w:style>
  <w:style w:type="paragraph" w:customStyle="1" w:styleId="193">
    <w:name w:val="默认段落字体 Para Char Char Char Char"/>
    <w:basedOn w:val="1"/>
    <w:semiHidden/>
    <w:qFormat/>
    <w:uiPriority w:val="0"/>
    <w:rPr>
      <w:rFonts w:ascii="宋体" w:hAnsi="宋体"/>
      <w:b/>
      <w:color w:val="000000"/>
      <w:sz w:val="24"/>
    </w:rPr>
  </w:style>
  <w:style w:type="paragraph" w:customStyle="1" w:styleId="194">
    <w:name w:val="xl4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5">
    <w:name w:val="xl55"/>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96">
    <w:name w:val="p15"/>
    <w:basedOn w:val="1"/>
    <w:qFormat/>
    <w:uiPriority w:val="0"/>
    <w:pPr>
      <w:widowControl/>
      <w:spacing w:before="100" w:after="100"/>
      <w:jc w:val="left"/>
    </w:pPr>
    <w:rPr>
      <w:rFonts w:ascii="宋体" w:hAnsi="宋体" w:cs="宋体"/>
      <w:kern w:val="0"/>
      <w:sz w:val="24"/>
    </w:rPr>
  </w:style>
  <w:style w:type="paragraph" w:customStyle="1" w:styleId="197">
    <w:name w:val="xl3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8">
    <w:name w:val="样式 首行缩进:  0 厘米 行距: 单倍行距 Char"/>
    <w:basedOn w:val="1"/>
    <w:qFormat/>
    <w:uiPriority w:val="0"/>
    <w:pPr>
      <w:adjustRightInd w:val="0"/>
      <w:textAlignment w:val="baseline"/>
    </w:pPr>
    <w:rPr>
      <w:kern w:val="0"/>
      <w:szCs w:val="21"/>
    </w:rPr>
  </w:style>
  <w:style w:type="paragraph" w:customStyle="1" w:styleId="199">
    <w:name w:val="font7"/>
    <w:basedOn w:val="1"/>
    <w:qFormat/>
    <w:uiPriority w:val="0"/>
    <w:pPr>
      <w:widowControl/>
      <w:spacing w:before="100" w:beforeAutospacing="1" w:after="100" w:afterAutospacing="1"/>
      <w:jc w:val="left"/>
    </w:pPr>
    <w:rPr>
      <w:color w:val="000000"/>
      <w:kern w:val="0"/>
      <w:sz w:val="20"/>
      <w:szCs w:val="20"/>
    </w:rPr>
  </w:style>
  <w:style w:type="paragraph" w:customStyle="1" w:styleId="200">
    <w:name w:val="xl26"/>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1">
    <w:name w:val="xl29"/>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2">
    <w:name w:val="_Style 1"/>
    <w:basedOn w:val="1"/>
    <w:unhideWhenUsed/>
    <w:qFormat/>
    <w:uiPriority w:val="0"/>
    <w:pPr>
      <w:ind w:firstLine="420" w:firstLineChars="200"/>
    </w:pPr>
  </w:style>
  <w:style w:type="paragraph" w:customStyle="1" w:styleId="203">
    <w:name w:val="样式 标题 1 + 首行缩进:  2 字符 段前: 1 行 段后: 1 行"/>
    <w:basedOn w:val="3"/>
    <w:semiHidden/>
    <w:qFormat/>
    <w:uiPriority w:val="0"/>
    <w:pPr>
      <w:spacing w:beforeLines="100" w:afterLines="100"/>
      <w:ind w:firstLine="420"/>
    </w:pPr>
    <w:rPr>
      <w:bCs w:val="0"/>
      <w:sz w:val="28"/>
      <w:szCs w:val="20"/>
    </w:rPr>
  </w:style>
  <w:style w:type="paragraph" w:customStyle="1" w:styleId="204">
    <w:name w:val="xl3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205">
    <w:name w:val="Char Char Char"/>
    <w:basedOn w:val="1"/>
    <w:qFormat/>
    <w:uiPriority w:val="0"/>
  </w:style>
  <w:style w:type="paragraph" w:customStyle="1" w:styleId="206">
    <w:name w:val="xl5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7">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08">
    <w:name w:val="xl2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09">
    <w:name w:val="xl31"/>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10">
    <w:name w:val="xl3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1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2">
    <w:name w:val="p0 New"/>
    <w:basedOn w:val="213"/>
    <w:qFormat/>
    <w:uiPriority w:val="0"/>
    <w:pPr>
      <w:widowControl/>
    </w:pPr>
    <w:rPr>
      <w:kern w:val="0"/>
      <w:szCs w:val="20"/>
    </w:rPr>
  </w:style>
  <w:style w:type="paragraph" w:customStyle="1" w:styleId="213">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4">
    <w:name w:val="xl44"/>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5">
    <w:name w:val="样式 Arial 首行缩进:  2 字符"/>
    <w:basedOn w:val="1"/>
    <w:qFormat/>
    <w:uiPriority w:val="0"/>
    <w:pPr>
      <w:ind w:firstLine="403" w:firstLineChars="200"/>
    </w:pPr>
    <w:rPr>
      <w:rFonts w:cs="华文新魏"/>
      <w:szCs w:val="21"/>
    </w:rPr>
  </w:style>
  <w:style w:type="paragraph" w:customStyle="1" w:styleId="216">
    <w:name w:val="xl46"/>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7">
    <w:name w:val="样式 首行缩进:  0 厘米 行距: 单倍行距"/>
    <w:basedOn w:val="1"/>
    <w:semiHidden/>
    <w:qFormat/>
    <w:uiPriority w:val="0"/>
    <w:pPr>
      <w:adjustRightInd w:val="0"/>
      <w:textAlignment w:val="baseline"/>
    </w:pPr>
    <w:rPr>
      <w:kern w:val="0"/>
      <w:szCs w:val="20"/>
    </w:rPr>
  </w:style>
  <w:style w:type="paragraph" w:customStyle="1" w:styleId="218">
    <w:name w:val="xl39"/>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19">
    <w:name w:val="xl50"/>
    <w:basedOn w:val="1"/>
    <w:semiHidden/>
    <w:qFormat/>
    <w:uiPriority w:val="0"/>
    <w:pPr>
      <w:widowControl/>
      <w:spacing w:before="100" w:beforeAutospacing="1" w:after="100" w:afterAutospacing="1"/>
      <w:jc w:val="center"/>
    </w:pPr>
    <w:rPr>
      <w:rFonts w:ascii="宋体" w:hAnsi="宋体"/>
      <w:kern w:val="0"/>
      <w:sz w:val="24"/>
    </w:rPr>
  </w:style>
  <w:style w:type="paragraph" w:customStyle="1" w:styleId="220">
    <w:name w:val="xl45"/>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21">
    <w:name w:val="xl5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2">
    <w:name w:val="xl4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3">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4"/>
    </w:rPr>
  </w:style>
  <w:style w:type="paragraph" w:customStyle="1" w:styleId="224">
    <w:name w:val="样式 样式 标题 2 + 段前: 0.5 行 段后: 0.5 行 + 首行缩进:  2 字符 段前: 0.5 行 段后: 0..."/>
    <w:basedOn w:val="1"/>
    <w:semiHidden/>
    <w:qFormat/>
    <w:uiPriority w:val="0"/>
    <w:pPr>
      <w:keepNext/>
      <w:keepLines/>
      <w:adjustRightInd w:val="0"/>
      <w:spacing w:beforeLines="50" w:afterLines="50"/>
      <w:jc w:val="left"/>
      <w:textAlignment w:val="baseline"/>
      <w:outlineLvl w:val="1"/>
    </w:pPr>
    <w:rPr>
      <w:rFonts w:eastAsia="黑体"/>
      <w:kern w:val="0"/>
      <w:szCs w:val="20"/>
    </w:rPr>
  </w:style>
  <w:style w:type="paragraph" w:customStyle="1" w:styleId="225">
    <w:name w:val="List Paragraph1"/>
    <w:basedOn w:val="1"/>
    <w:qFormat/>
    <w:uiPriority w:val="0"/>
    <w:pPr>
      <w:ind w:firstLine="420" w:firstLineChars="200"/>
    </w:pPr>
    <w:rPr>
      <w:rFonts w:ascii="Calibri" w:hAnsi="Calibri"/>
      <w:szCs w:val="20"/>
    </w:rPr>
  </w:style>
  <w:style w:type="paragraph" w:customStyle="1" w:styleId="226">
    <w:name w:val="font6"/>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227">
    <w:name w:val="xl24"/>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28">
    <w:name w:val="样式3"/>
    <w:basedOn w:val="5"/>
    <w:semiHidden/>
    <w:qFormat/>
    <w:uiPriority w:val="0"/>
    <w:pPr>
      <w:tabs>
        <w:tab w:val="left" w:pos="709"/>
      </w:tabs>
      <w:topLinePunct/>
      <w:spacing w:line="720" w:lineRule="auto"/>
      <w:jc w:val="left"/>
    </w:pPr>
    <w:rPr>
      <w:rFonts w:ascii="Arial" w:hAnsi="Arial" w:eastAsia="黑体"/>
      <w:bCs w:val="0"/>
      <w:sz w:val="30"/>
      <w:szCs w:val="30"/>
    </w:rPr>
  </w:style>
  <w:style w:type="paragraph" w:customStyle="1" w:styleId="229">
    <w:name w:val="Char Char Char Char"/>
    <w:basedOn w:val="1"/>
    <w:qFormat/>
    <w:uiPriority w:val="0"/>
    <w:rPr>
      <w:snapToGrid w:val="0"/>
      <w:kern w:val="0"/>
      <w:szCs w:val="21"/>
    </w:rPr>
  </w:style>
  <w:style w:type="paragraph" w:customStyle="1" w:styleId="230">
    <w:name w:val="样式5"/>
    <w:semiHidden/>
    <w:qFormat/>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231">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32">
    <w:name w:val="样式4"/>
    <w:basedOn w:val="6"/>
    <w:semiHidden/>
    <w:qFormat/>
    <w:uiPriority w:val="0"/>
    <w:pPr>
      <w:topLinePunct/>
      <w:spacing w:line="480" w:lineRule="auto"/>
      <w:ind w:firstLine="420"/>
    </w:pPr>
    <w:rPr>
      <w:rFonts w:ascii="Times New Roman" w:hAnsi="Times New Roman" w:eastAsia="楷体_GB2312"/>
      <w:b w:val="0"/>
      <w:bCs w:val="0"/>
      <w:sz w:val="24"/>
      <w:szCs w:val="20"/>
    </w:rPr>
  </w:style>
  <w:style w:type="paragraph" w:customStyle="1" w:styleId="233">
    <w:name w:val="xl52"/>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3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35">
    <w:name w:val="Char Char2"/>
    <w:basedOn w:val="1"/>
    <w:qFormat/>
    <w:uiPriority w:val="0"/>
  </w:style>
  <w:style w:type="paragraph" w:customStyle="1" w:styleId="236">
    <w:name w:val="xl4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37">
    <w:name w:val="Char1 Char Char"/>
    <w:basedOn w:val="1"/>
    <w:qFormat/>
    <w:uiPriority w:val="0"/>
    <w:rPr>
      <w:szCs w:val="20"/>
    </w:rPr>
  </w:style>
  <w:style w:type="paragraph" w:customStyle="1" w:styleId="238">
    <w:name w:val="Char Char Char Char Char Char Char"/>
    <w:basedOn w:val="1"/>
    <w:semiHidden/>
    <w:qFormat/>
    <w:uiPriority w:val="0"/>
  </w:style>
  <w:style w:type="paragraph" w:customStyle="1" w:styleId="239">
    <w:name w:val="样式 标题 2 + 黑体 段前: 10.25 磅 段后: 10.25 磅 行距: 单倍行距"/>
    <w:basedOn w:val="4"/>
    <w:semiHidden/>
    <w:qFormat/>
    <w:uiPriority w:val="0"/>
    <w:pPr>
      <w:adjustRightInd w:val="0"/>
      <w:spacing w:beforeLines="50" w:afterLines="50" w:line="240" w:lineRule="auto"/>
      <w:ind w:firstLine="420"/>
      <w:jc w:val="left"/>
      <w:textAlignment w:val="baseline"/>
    </w:pPr>
    <w:rPr>
      <w:rFonts w:ascii="黑体" w:hAnsi="黑体"/>
      <w:bCs w:val="0"/>
      <w:kern w:val="0"/>
      <w:sz w:val="24"/>
      <w:szCs w:val="20"/>
    </w:rPr>
  </w:style>
  <w:style w:type="paragraph" w:customStyle="1" w:styleId="240">
    <w:name w:val="p0"/>
    <w:basedOn w:val="1"/>
    <w:qFormat/>
    <w:uiPriority w:val="0"/>
    <w:pPr>
      <w:widowControl/>
    </w:pPr>
    <w:rPr>
      <w:kern w:val="0"/>
      <w:szCs w:val="21"/>
    </w:rPr>
  </w:style>
  <w:style w:type="paragraph" w:customStyle="1" w:styleId="241">
    <w:name w:val="标题 3 + 小四 段前: 0 磅 段后: 0 磅 行距: 1.5 倍行距"/>
    <w:basedOn w:val="5"/>
    <w:next w:val="5"/>
    <w:semiHidden/>
    <w:qFormat/>
    <w:uiPriority w:val="0"/>
    <w:pPr>
      <w:jc w:val="center"/>
    </w:pPr>
    <w:rPr>
      <w:rFonts w:eastAsia="黑体" w:cs="宋体"/>
      <w:b w:val="0"/>
      <w:szCs w:val="20"/>
    </w:rPr>
  </w:style>
  <w:style w:type="paragraph" w:customStyle="1" w:styleId="242">
    <w:name w:val="xl41"/>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43">
    <w:name w:val="xl33"/>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44">
    <w:name w:val="列出段落1"/>
    <w:basedOn w:val="1"/>
    <w:qFormat/>
    <w:uiPriority w:val="0"/>
    <w:pPr>
      <w:ind w:firstLine="420" w:firstLineChars="200"/>
    </w:pPr>
    <w:rPr>
      <w:rFonts w:ascii="Calibri" w:hAnsi="Calibri"/>
      <w:szCs w:val="22"/>
    </w:rPr>
  </w:style>
  <w:style w:type="paragraph" w:customStyle="1" w:styleId="245">
    <w:name w:val="Char"/>
    <w:basedOn w:val="1"/>
    <w:qFormat/>
    <w:uiPriority w:val="0"/>
  </w:style>
  <w:style w:type="paragraph" w:customStyle="1" w:styleId="246">
    <w:name w:val="默认段落字体 Para Char Char Char Char Char"/>
    <w:basedOn w:val="1"/>
    <w:qFormat/>
    <w:uiPriority w:val="0"/>
    <w:rPr>
      <w:rFonts w:ascii="宋体" w:hAnsi="宋体"/>
      <w:b/>
      <w:color w:val="000000"/>
      <w:sz w:val="24"/>
    </w:rPr>
  </w:style>
  <w:style w:type="paragraph" w:customStyle="1" w:styleId="247">
    <w:name w:val="表文"/>
    <w:basedOn w:val="1"/>
    <w:qFormat/>
    <w:uiPriority w:val="0"/>
    <w:pPr>
      <w:topLinePunct/>
      <w:spacing w:before="40" w:after="40"/>
    </w:pPr>
    <w:rPr>
      <w:sz w:val="18"/>
      <w:szCs w:val="18"/>
    </w:rPr>
  </w:style>
  <w:style w:type="paragraph" w:customStyle="1" w:styleId="248">
    <w:name w:val="xl32"/>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49">
    <w:name w:val="xl3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50">
    <w:name w:val="xl42"/>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51">
    <w:name w:val="p82"/>
    <w:basedOn w:val="1"/>
    <w:semiHidden/>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252">
    <w:name w:val="xl2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253">
    <w:name w:val="图说"/>
    <w:basedOn w:val="1"/>
    <w:semiHidden/>
    <w:qFormat/>
    <w:uiPriority w:val="0"/>
    <w:pPr>
      <w:topLinePunct/>
      <w:spacing w:before="40" w:after="160"/>
      <w:jc w:val="center"/>
    </w:pPr>
    <w:rPr>
      <w:rFonts w:cs="宋体"/>
      <w:sz w:val="18"/>
      <w:szCs w:val="20"/>
    </w:rPr>
  </w:style>
  <w:style w:type="paragraph" w:customStyle="1" w:styleId="254">
    <w:name w:val="Normal1"/>
    <w:basedOn w:val="255"/>
    <w:semiHidden/>
    <w:qFormat/>
    <w:uiPriority w:val="0"/>
    <w:pPr>
      <w:tabs>
        <w:tab w:val="left" w:pos="2160"/>
      </w:tabs>
      <w:adjustRightInd w:val="0"/>
      <w:spacing w:line="490" w:lineRule="exact"/>
      <w:jc w:val="center"/>
      <w:textAlignment w:val="baseline"/>
    </w:pPr>
    <w:rPr>
      <w:rFonts w:ascii="仿宋_GB2312" w:eastAsia="仿宋_GB2312"/>
      <w:kern w:val="0"/>
      <w:sz w:val="34"/>
      <w:szCs w:val="20"/>
    </w:rPr>
  </w:style>
  <w:style w:type="paragraph" w:customStyle="1" w:styleId="255">
    <w:name w:val="样式1"/>
    <w:basedOn w:val="1"/>
    <w:qFormat/>
    <w:uiPriority w:val="0"/>
    <w:rPr>
      <w:sz w:val="28"/>
    </w:rPr>
  </w:style>
  <w:style w:type="paragraph" w:customStyle="1" w:styleId="256">
    <w:name w:val="xl53"/>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57">
    <w:name w:val="TOC 标题1"/>
    <w:basedOn w:val="3"/>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258">
    <w:name w:val="xl38"/>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259">
    <w:name w:val="附录"/>
    <w:basedOn w:val="3"/>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260">
    <w:name w:val="xl51"/>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61">
    <w:name w:val="xl66"/>
    <w:basedOn w:val="1"/>
    <w:qFormat/>
    <w:uiPriority w:val="0"/>
    <w:pPr>
      <w:widowControl/>
      <w:pBdr>
        <w:left w:val="single" w:color="000000" w:sz="8" w:space="0"/>
        <w:bottom w:val="single" w:color="000000" w:sz="8" w:space="0"/>
        <w:right w:val="single" w:color="000000" w:sz="8"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2">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3">
    <w:name w:val="xl68"/>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264">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5">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6">
    <w:name w:val="xl7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7">
    <w:name w:val="xl72"/>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8">
    <w:name w:val="xl7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9">
    <w:name w:val="xl74"/>
    <w:basedOn w:val="1"/>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70">
    <w:name w:val="font8"/>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271">
    <w:name w:val="font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2">
    <w:name w:val="xl7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73">
    <w:name w:val="列出段落2"/>
    <w:basedOn w:val="1"/>
    <w:unhideWhenUsed/>
    <w:qFormat/>
    <w:uiPriority w:val="0"/>
    <w:pPr>
      <w:ind w:firstLine="420" w:firstLineChars="200"/>
    </w:pPr>
  </w:style>
  <w:style w:type="paragraph" w:customStyle="1" w:styleId="274">
    <w:name w:val="Default"/>
    <w:unhideWhenUsed/>
    <w:qFormat/>
    <w:uiPriority w:val="99"/>
    <w:pPr>
      <w:widowControl w:val="0"/>
      <w:autoSpaceDE w:val="0"/>
      <w:autoSpaceDN w:val="0"/>
      <w:adjustRightInd w:val="0"/>
    </w:pPr>
    <w:rPr>
      <w:rFonts w:hint="eastAsia" w:ascii="宋体" w:hAnsi="宋体"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4DB4E5-E7FE-4F39-A542-ADBD9296DFDB}">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45</Pages>
  <Words>9548</Words>
  <Characters>54425</Characters>
  <Lines>453</Lines>
  <Paragraphs>127</Paragraphs>
  <TotalTime>0</TotalTime>
  <ScaleCrop>false</ScaleCrop>
  <LinksUpToDate>false</LinksUpToDate>
  <CharactersWithSpaces>63846</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2019-03-15T02:50:00Z</dcterms:created>
  <dc:creator>hzhong</dc:creator>
  <cp:lastModifiedBy>wf</cp:lastModifiedBy>
  <cp:lastPrinted>2020-04-15T02:55:00Z</cp:lastPrinted>
  <dcterms:modified xsi:type="dcterms:W3CDTF">2020-04-16T03:51:44Z</dcterms:modified>
  <dc:title>第二章  投标人须知</dc:title>
  <cp:revision>244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