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top w:w="15" w:type="dxa"/>
          <w:left w:w="15" w:type="dxa"/>
          <w:bottom w:w="15" w:type="dxa"/>
          <w:right w:w="15" w:type="dxa"/>
        </w:tblCellMar>
        <w:tblLook w:val="0000"/>
      </w:tblPr>
      <w:tblGrid>
        <w:gridCol w:w="897"/>
        <w:gridCol w:w="902"/>
        <w:gridCol w:w="895"/>
        <w:gridCol w:w="902"/>
        <w:gridCol w:w="897"/>
        <w:gridCol w:w="1032"/>
        <w:gridCol w:w="895"/>
        <w:gridCol w:w="895"/>
        <w:gridCol w:w="895"/>
        <w:gridCol w:w="890"/>
      </w:tblGrid>
      <w:tr w:rsidR="003A536A" w:rsidTr="006F23DF">
        <w:trPr>
          <w:trHeight w:val="615"/>
        </w:trPr>
        <w:tc>
          <w:tcPr>
            <w:tcW w:w="897" w:type="dxa"/>
            <w:tcBorders>
              <w:top w:val="single" w:sz="4" w:space="0" w:color="000000"/>
              <w:left w:val="single" w:sz="4" w:space="0" w:color="000000"/>
              <w:bottom w:val="single" w:sz="4" w:space="0" w:color="000000"/>
              <w:right w:val="single" w:sz="4" w:space="0" w:color="000000"/>
            </w:tcBorders>
            <w:shd w:val="clear" w:color="auto" w:fill="8497B0"/>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序号</w:t>
            </w:r>
          </w:p>
        </w:tc>
        <w:tc>
          <w:tcPr>
            <w:tcW w:w="902" w:type="dxa"/>
            <w:tcBorders>
              <w:top w:val="single" w:sz="4" w:space="0" w:color="000000"/>
              <w:left w:val="single" w:sz="4" w:space="0" w:color="000000"/>
              <w:bottom w:val="single" w:sz="4" w:space="0" w:color="000000"/>
              <w:right w:val="single" w:sz="4" w:space="0" w:color="000000"/>
            </w:tcBorders>
            <w:shd w:val="clear" w:color="auto" w:fill="8497B0"/>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标号</w:t>
            </w:r>
          </w:p>
        </w:tc>
        <w:tc>
          <w:tcPr>
            <w:tcW w:w="895" w:type="dxa"/>
            <w:tcBorders>
              <w:top w:val="single" w:sz="4" w:space="0" w:color="000000"/>
              <w:left w:val="single" w:sz="4" w:space="0" w:color="000000"/>
              <w:bottom w:val="single" w:sz="4" w:space="0" w:color="000000"/>
              <w:right w:val="single" w:sz="4" w:space="0" w:color="000000"/>
            </w:tcBorders>
            <w:shd w:val="clear" w:color="auto" w:fill="8497B0"/>
            <w:vAlign w:val="center"/>
          </w:tcPr>
          <w:p w:rsidR="003A536A" w:rsidRDefault="003A536A" w:rsidP="006F23DF">
            <w:pPr>
              <w:widowControl/>
              <w:jc w:val="center"/>
              <w:textAlignment w:val="center"/>
              <w:rPr>
                <w:rFonts w:ascii="Arial" w:hAnsi="Arial" w:cs="Arial"/>
                <w:color w:val="000000"/>
                <w:sz w:val="20"/>
                <w:szCs w:val="20"/>
              </w:rPr>
            </w:pPr>
            <w:r>
              <w:rPr>
                <w:rFonts w:ascii="Arial" w:hAnsi="Arial" w:cs="Arial"/>
                <w:color w:val="000000"/>
                <w:kern w:val="0"/>
                <w:sz w:val="20"/>
                <w:szCs w:val="20"/>
                <w:lang/>
              </w:rPr>
              <w:t>包号</w:t>
            </w:r>
          </w:p>
        </w:tc>
        <w:tc>
          <w:tcPr>
            <w:tcW w:w="902" w:type="dxa"/>
            <w:tcBorders>
              <w:top w:val="single" w:sz="4" w:space="0" w:color="000000"/>
              <w:left w:val="single" w:sz="4" w:space="0" w:color="000000"/>
              <w:bottom w:val="single" w:sz="4" w:space="0" w:color="000000"/>
              <w:right w:val="single" w:sz="4" w:space="0" w:color="000000"/>
            </w:tcBorders>
            <w:shd w:val="clear" w:color="auto" w:fill="8497B0"/>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包名称</w:t>
            </w:r>
          </w:p>
        </w:tc>
        <w:tc>
          <w:tcPr>
            <w:tcW w:w="897" w:type="dxa"/>
            <w:tcBorders>
              <w:top w:val="single" w:sz="4" w:space="0" w:color="000000"/>
              <w:left w:val="single" w:sz="4" w:space="0" w:color="000000"/>
              <w:bottom w:val="single" w:sz="4" w:space="0" w:color="000000"/>
              <w:right w:val="single" w:sz="4" w:space="0" w:color="000000"/>
            </w:tcBorders>
            <w:shd w:val="clear" w:color="auto" w:fill="8497B0"/>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推荐的中标候选人</w:t>
            </w:r>
          </w:p>
        </w:tc>
        <w:tc>
          <w:tcPr>
            <w:tcW w:w="1032" w:type="dxa"/>
            <w:tcBorders>
              <w:top w:val="single" w:sz="4" w:space="0" w:color="000000"/>
              <w:left w:val="single" w:sz="4" w:space="0" w:color="000000"/>
              <w:bottom w:val="single" w:sz="4" w:space="0" w:color="000000"/>
              <w:right w:val="single" w:sz="4" w:space="0" w:color="000000"/>
            </w:tcBorders>
            <w:shd w:val="clear" w:color="auto" w:fill="8497B0"/>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投标报价  （万元）</w:t>
            </w:r>
          </w:p>
        </w:tc>
        <w:tc>
          <w:tcPr>
            <w:tcW w:w="895" w:type="dxa"/>
            <w:tcBorders>
              <w:top w:val="single" w:sz="4" w:space="0" w:color="000000"/>
              <w:left w:val="single" w:sz="4" w:space="0" w:color="000000"/>
              <w:bottom w:val="single" w:sz="4" w:space="0" w:color="000000"/>
              <w:right w:val="single" w:sz="4" w:space="0" w:color="000000"/>
            </w:tcBorders>
            <w:shd w:val="clear" w:color="auto" w:fill="8497B0"/>
            <w:vAlign w:val="center"/>
          </w:tcPr>
          <w:p w:rsidR="003A536A" w:rsidRDefault="003A536A" w:rsidP="006F23DF">
            <w:pPr>
              <w:widowControl/>
              <w:jc w:val="center"/>
              <w:textAlignment w:val="center"/>
              <w:rPr>
                <w:rFonts w:ascii="Arial" w:hAnsi="Arial" w:cs="Arial"/>
                <w:color w:val="000000"/>
                <w:sz w:val="20"/>
                <w:szCs w:val="20"/>
              </w:rPr>
            </w:pPr>
            <w:r>
              <w:rPr>
                <w:rFonts w:ascii="Arial" w:hAnsi="Arial" w:cs="Arial"/>
                <w:color w:val="000000"/>
                <w:kern w:val="0"/>
                <w:sz w:val="20"/>
                <w:szCs w:val="20"/>
                <w:lang/>
              </w:rPr>
              <w:t>质量服务承诺</w:t>
            </w:r>
          </w:p>
        </w:tc>
        <w:tc>
          <w:tcPr>
            <w:tcW w:w="895" w:type="dxa"/>
            <w:tcBorders>
              <w:top w:val="single" w:sz="4" w:space="0" w:color="000000"/>
              <w:left w:val="single" w:sz="4" w:space="0" w:color="000000"/>
              <w:bottom w:val="single" w:sz="4" w:space="0" w:color="000000"/>
              <w:right w:val="single" w:sz="4" w:space="0" w:color="000000"/>
            </w:tcBorders>
            <w:shd w:val="clear" w:color="auto" w:fill="8497B0"/>
            <w:vAlign w:val="center"/>
          </w:tcPr>
          <w:p w:rsidR="003A536A" w:rsidRDefault="003A536A" w:rsidP="006F23DF">
            <w:pPr>
              <w:widowControl/>
              <w:jc w:val="center"/>
              <w:textAlignment w:val="center"/>
              <w:rPr>
                <w:rFonts w:ascii="Arial" w:hAnsi="Arial" w:cs="Arial"/>
                <w:color w:val="000000"/>
                <w:sz w:val="20"/>
                <w:szCs w:val="20"/>
              </w:rPr>
            </w:pPr>
            <w:r>
              <w:rPr>
                <w:rFonts w:ascii="Arial" w:hAnsi="Arial" w:cs="Arial"/>
                <w:color w:val="000000"/>
                <w:kern w:val="0"/>
                <w:sz w:val="20"/>
                <w:szCs w:val="20"/>
                <w:lang/>
              </w:rPr>
              <w:t>工期</w:t>
            </w:r>
          </w:p>
        </w:tc>
        <w:tc>
          <w:tcPr>
            <w:tcW w:w="895" w:type="dxa"/>
            <w:tcBorders>
              <w:top w:val="single" w:sz="4" w:space="0" w:color="000000"/>
              <w:left w:val="single" w:sz="4" w:space="0" w:color="000000"/>
              <w:bottom w:val="single" w:sz="4" w:space="0" w:color="000000"/>
              <w:right w:val="single" w:sz="4" w:space="0" w:color="000000"/>
            </w:tcBorders>
            <w:shd w:val="clear" w:color="auto" w:fill="8497B0"/>
            <w:vAlign w:val="center"/>
          </w:tcPr>
          <w:p w:rsidR="003A536A" w:rsidRDefault="003A536A" w:rsidP="006F23DF">
            <w:pPr>
              <w:widowControl/>
              <w:jc w:val="center"/>
              <w:textAlignment w:val="center"/>
              <w:rPr>
                <w:rFonts w:ascii="Arial" w:hAnsi="Arial" w:cs="Arial"/>
                <w:color w:val="000000"/>
                <w:sz w:val="20"/>
                <w:szCs w:val="20"/>
              </w:rPr>
            </w:pPr>
            <w:r>
              <w:rPr>
                <w:rFonts w:ascii="Arial" w:hAnsi="Arial" w:cs="Arial"/>
                <w:color w:val="000000"/>
                <w:kern w:val="0"/>
                <w:sz w:val="20"/>
                <w:szCs w:val="20"/>
                <w:lang/>
              </w:rPr>
              <w:t>资格能力</w:t>
            </w:r>
          </w:p>
        </w:tc>
        <w:tc>
          <w:tcPr>
            <w:tcW w:w="890" w:type="dxa"/>
            <w:tcBorders>
              <w:top w:val="single" w:sz="4" w:space="0" w:color="000000"/>
              <w:left w:val="single" w:sz="4" w:space="0" w:color="000000"/>
              <w:bottom w:val="single" w:sz="4" w:space="0" w:color="000000"/>
              <w:right w:val="single" w:sz="4" w:space="0" w:color="000000"/>
            </w:tcBorders>
            <w:shd w:val="clear" w:color="auto" w:fill="8497B0"/>
            <w:vAlign w:val="center"/>
          </w:tcPr>
          <w:p w:rsidR="003A536A" w:rsidRDefault="003A536A" w:rsidP="006F23DF">
            <w:pPr>
              <w:widowControl/>
              <w:jc w:val="center"/>
              <w:textAlignment w:val="center"/>
              <w:rPr>
                <w:rFonts w:ascii="Arial" w:hAnsi="Arial" w:cs="Arial"/>
                <w:color w:val="000000"/>
                <w:sz w:val="20"/>
                <w:szCs w:val="20"/>
              </w:rPr>
            </w:pPr>
            <w:r>
              <w:rPr>
                <w:rFonts w:ascii="Arial" w:hAnsi="Arial" w:cs="Arial"/>
                <w:color w:val="000000"/>
                <w:kern w:val="0"/>
                <w:sz w:val="20"/>
                <w:szCs w:val="20"/>
                <w:lang/>
              </w:rPr>
              <w:t>评标情况</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001-可研设计一体化</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青海海东仁和110千伏输变电新建工程可研设计一体化</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青海天慧电力设计咨询有限责任公司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237.0962</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包2</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青海海东清一35千伏变电站10千伏配套送出等2项工程可研设计一体化</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青海天慧电力设计咨询有限责任公司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19.109</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96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包3</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青海西宁麻岭330千伏变电站110千伏配出工程可研设计一体化</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西宁方盛电力设计有限公司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33.678</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96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5</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包4</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青海西宁大堡子110kV变电站增容扩建工程可研设计一体化</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中国电建集团青海省电力设计院有限公司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61.157</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包5</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青海西宁35kV堡山线线路改造工程可研设计一体化</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格尔木海电实业有限责任公司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54.9</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7</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包6</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青海西宁青林35kV变电站增容扩建工程可研设计一体化</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西宁方盛电力设计有限公司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108.2127</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包7</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青海西宁李家山35kV变电站增容扩建工程可研设计一体化</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西宁方盛电力设计有限公司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75.7413</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包8</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青海西宁岗冲35kV变电站增容扩建工程可研设计一体化</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西宁方盛电力设计有限公司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44.0048</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10</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001-可研设计一体化</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包9</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青海海西柯柯35千伏变电站主变增容改造等3项工程可研设计一体化</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青海晟铭电力设计咨询有限公司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112.25</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11</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13</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包10</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青海海西县圃110千伏输变电新建等3项工程可研设计一体化</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青海天润电力设计院有限公司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482.22</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14</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15</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包11</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青海西宁维物110kV变电站10kV配出等2项工程可研设计一体化</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西宁方盛电力设计有限公司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213.2821</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17</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包12</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大数据330千伏输变电工程可研设计一体化</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中国电力工程顾问集团西南电力设计院有限公司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742.233</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19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包13</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圣湖330千伏变电站主变扩建工程可研设计一体化</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中国电建集团青海省电力设计院有限公司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132.78</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20</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001-可研设计一体化</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包14</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青海海北芸苔110千伏变电站新建10千伏芸七路等3项工程可研设计一体化</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青海海润电力设计咨询有限公司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24.35</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21</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23</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包15</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青海黄南幸福山110千伏输变电工程可研设计一体化</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青海天润电力设计院有限公司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132.55</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24</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包16</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青海黄南幸福山110千伏变电站35千伏同期配出等2项工程可研设计一体化</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青海鸿景电力设计咨询有限公司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48.3713</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25</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包17</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青海黄南察汗110千伏变电站35千伏同期配出等4项工程可研设计一体化</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青海鸿景电力设计咨询有限公司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163.1334</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27</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30</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包18</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青海海东韵升110千伏变电站2#主变扩建工程</w:t>
            </w:r>
            <w:r>
              <w:rPr>
                <w:rFonts w:ascii="宋体" w:hAnsi="宋体" w:cs="宋体" w:hint="eastAsia"/>
                <w:color w:val="000000"/>
                <w:kern w:val="0"/>
                <w:sz w:val="20"/>
                <w:szCs w:val="20"/>
                <w:lang/>
              </w:rPr>
              <w:lastRenderedPageBreak/>
              <w:t>可研设计一体化</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青海鸿景电力设计咨询有限公司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15.6006</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31</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001-可研设计一体化</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包19</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青海黄南柯生35千伏变电站10千伏同期配出等3项工程可研设计一体化</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青海鸿景电力设计咨询有限公司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34.5195</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33</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34</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002-综合类设计</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青海信通公司光缆及光通信系统改造工程设计项目</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国核电力规划设计研究院有限公司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293.76</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35</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包3</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国网青海海北供电公司物资周转库设计项目</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青海建研建筑勘察设计有限公司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91</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48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包4</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国网青海海北供电公司辅助用房设计项目</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青海建研建筑勘察设计有限公司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41.5</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37</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包5</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国网青海省电力公司居民一户一表改造方案等2个项目设计项目</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西宁方盛电力设计有限公司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108.48</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包6</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国网青海黄化供电公司营销服务用房设计项目</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广州黄埔建筑设计院有限公司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134.254717</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40</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003-电网工程施工（基建110kV及以上）</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巴音330千伏主变扩建工程施工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青海万立建设有限公司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491.0326</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41</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003-电网工程施工（基建110kV及以上）</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包2</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鱼卡750kV变电站间隔扩建等2项工程施工</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青海送变电工程有限公司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2548.5183</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96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43</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包3</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青海鱼卡~托素750千伏线路工程（鱼卡变～饮马峡收费站北侧）施工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青海送变电工程有限公司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8575.6345</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96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44</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包4</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青海鱼卡~托素750千伏线路工程（饮马峡收费站北侧～三十道班东侧）施工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中国安能集团第二工程局有限公司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9705.9041</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120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45</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包5</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青海鱼卡~托素750千伏线路工程（三十道班东侧～托素（德令哈）750kV变电站）施工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青海送变电工程有限公司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9763.2817</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包6</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青海海东深沟110kV输变电新建等3项工程（变电土建）施工</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海东天润实业有限责任公司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1718.8986</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47</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包7</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青海海南达玉</w:t>
            </w:r>
            <w:r>
              <w:rPr>
                <w:rFonts w:ascii="宋体" w:hAnsi="宋体" w:cs="宋体" w:hint="eastAsia"/>
                <w:color w:val="000000"/>
                <w:kern w:val="0"/>
                <w:sz w:val="20"/>
                <w:szCs w:val="20"/>
                <w:lang/>
              </w:rPr>
              <w:lastRenderedPageBreak/>
              <w:t>110kV输变电新建工程工程施工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青海宏海电力科技</w:t>
            </w:r>
            <w:r>
              <w:rPr>
                <w:rFonts w:ascii="宋体" w:hAnsi="宋体" w:cs="宋体" w:hint="eastAsia"/>
                <w:color w:val="000000"/>
                <w:kern w:val="0"/>
                <w:sz w:val="20"/>
                <w:szCs w:val="20"/>
                <w:lang/>
              </w:rPr>
              <w:lastRenderedPageBreak/>
              <w:t>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2115.2436</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50</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包8</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青海海南镜湖110kV变电站2号主变扩建工程施工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青海宏海电力科技有限公司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180.5045</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51</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004-电网工程施工（基建35kV及以下）</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青海果洛查郎至德昂35kV线路新建工程施工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青海宏海电力科技有限公司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1642.5443</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48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52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包2</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青海海西俄博梁35kV输变电新建工程施工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青海长源电力有限责任公司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1153.0089</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53</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005-电网工程施工（运检35kV及以下）</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青海海东乐都10kV红二路晁家村晁家台区等3个台区改造等7项工程施工</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海东天润实业有限责任公司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344.889</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54</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55</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56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57</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58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59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60</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包2</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青海海南同德县10kV滩三路北巴滩牧业点村018#杆线路延伸台区新建等4项工程施工</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青海三新农电有限责任公司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508.21</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61</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62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63</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64</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005-电网工程施工（运检35kV及以下）</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包3</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青海海南共和10kV江二路、湖一路莫热村上社</w:t>
            </w:r>
            <w:r>
              <w:rPr>
                <w:rFonts w:ascii="宋体" w:hAnsi="宋体" w:cs="宋体" w:hint="eastAsia"/>
                <w:color w:val="000000"/>
                <w:kern w:val="0"/>
                <w:sz w:val="20"/>
                <w:szCs w:val="20"/>
                <w:lang/>
              </w:rPr>
              <w:lastRenderedPageBreak/>
              <w:t>高低压线路及配变台区改造等8项工程施工</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青海孜创建设工程有限公司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394.9962</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65</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66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67</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68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69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70</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71</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72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包4</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青海海东化隆10kV雄一路乙么昂三社台区改造等6项工程施工</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青海黄化电业实业有限公司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166.8349</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73</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74</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75</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76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77</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78</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005-电网工程施工（运检35kV及以下）</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包5</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青海海东循化10kV循四路003号台区改造等3项工程施工</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青海黄化电业实业有限公司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57.5912</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79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80</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81</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包6</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青海黄南同仁10kV其三路线路改造等2项工程施工</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青海黄化电业实业有限公司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140.4172</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82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83</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包7</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青海西宁谦和110kV变电站10kV间隔扩建等2项工程施工</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青海向阳电力建设工程有限公司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369.8529</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84</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85</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包8</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青海果洛玛沁县10kV桑三路02#台区低压延伸等9项工程施工</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青海卓郁建筑安装工程有限公司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417.3894</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86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87</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88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89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90</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91</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92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93</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94</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包9</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青海海东深沟110kV变电站10kV配套送出工程施工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海东天润实业有限责任公司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214.9401</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96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95</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006-施工（大修技改）</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国网青海海西供电公司110kV察达Ⅰ回05号至21号、35kV察区线07号至22号施工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格尔木海电实业有限责任公司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634.3817</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96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包3</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国网青海检修公司750kV西宁变电站场区噪音治理施工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西安达明实业有限公司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365.434</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97</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007-施工（小型基建）</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国网青海海东民和县供电公司满坪供电所工程施工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海东天润实业有限责任公司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321.069016</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98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包2</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国网青海海南共和县供电公司塘格木供电所扩建工程施工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青海宏海电力科技有限公司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197.668338</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99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包3</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国网青海海南贵南县供电公司森多供电所扩建工程施工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青海综合能源服务有限公司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254.987255</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100</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包4</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国网青海海南共和</w:t>
            </w:r>
            <w:r>
              <w:rPr>
                <w:rFonts w:ascii="宋体" w:hAnsi="宋体" w:cs="宋体" w:hint="eastAsia"/>
                <w:color w:val="000000"/>
                <w:kern w:val="0"/>
                <w:sz w:val="20"/>
                <w:szCs w:val="20"/>
                <w:lang/>
              </w:rPr>
              <w:lastRenderedPageBreak/>
              <w:t>县供电公司江西沟供电所扩建工程施工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青海宏海电力科技</w:t>
            </w:r>
            <w:r>
              <w:rPr>
                <w:rFonts w:ascii="宋体" w:hAnsi="宋体" w:cs="宋体" w:hint="eastAsia"/>
                <w:color w:val="000000"/>
                <w:kern w:val="0"/>
                <w:sz w:val="20"/>
                <w:szCs w:val="20"/>
                <w:lang/>
              </w:rPr>
              <w:lastRenderedPageBreak/>
              <w:t>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222.564623</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101</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包5</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国网青海海南共和县供电公司沙珠玉供电所扩建工程施工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青海综合能源服务有限公司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177.383967</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102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包6</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国网青海西宁大通县供电公司朔北供电所扩建项目工程施工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西宁电力实业有限公司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45.101128</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103</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包7</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国网青海黄化供电公司2号综合楼综合改造工程施工</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西宁天瑞工程有限责任公司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395.302339</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104</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008-电网工程监理（基建110kV及以上）</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巴音330千伏主变扩建工程监理</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青海智鑫电力监理咨询有限公司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19.97</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105</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008-电网工程监理（基建110kV及以上）</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包2</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鱼卡750kV变电站间隔扩建等3项工程监理</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青海智鑫电力监理咨询有限公司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919.84</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106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107</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108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包3</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青海海东深沟110kV输变电新建等2项工程（线路工程）监</w:t>
            </w:r>
            <w:r>
              <w:rPr>
                <w:rFonts w:ascii="宋体" w:hAnsi="宋体" w:cs="宋体" w:hint="eastAsia"/>
                <w:color w:val="000000"/>
                <w:kern w:val="0"/>
                <w:sz w:val="20"/>
                <w:szCs w:val="20"/>
                <w:lang/>
              </w:rPr>
              <w:lastRenderedPageBreak/>
              <w:t>理</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青海省电力技术开发实业有限公司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82.53</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109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48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110</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包4</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青海海南达玉110kV输变电新建工程监理</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青海省迪康咨询监理有限公司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90.51</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111</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包5</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青海海西亨嘉至镁都“T”接国源110kV线路新建工程监理</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青海省电力技术开发实业有限公司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3.15</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112</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009-电网工程监理（基建35kV及以下）</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青海果洛查郎至德昂35kV线路新建工程监理</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青海省迪康咨询监理有限公司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40.22</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113</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包2</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青海海西俄博梁35kV输变电新建等2项工程监理</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青海省电力技术开发实业有限公司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42.44</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114</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115</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010-电网工程监理（运检35kV及以下）</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青海海东乐都10kV红二路晁家村晁家台区等3个台区改造等7项工程监理</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青海省电力技术开发实业有限公司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23.83</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116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117</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118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119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120</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121</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122</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010-电网工程监理（运检35kV及以下）</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包2</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青海海南同德县10kV滩三路北巴滩牧业点村018号杆线路延伸台区新建等12项工程监理</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青海省迪康咨询监理有限公司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44.92</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123</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124</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125</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126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127</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128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129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130</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131</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132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133</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134</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010-电网工程监理（运检35kV及以下）</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包3</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青海海东化隆10kV雄一路乙么昂三社台区改造等11项工程监理</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青海省电力技术开发实业有限公司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19.15</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135</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136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137</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138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139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140</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141</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142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143</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144</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145</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包4</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青海西宁谦和110kV变电站10kV间隔扩建等2项工程监理</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青海省迪康咨询监理有限公司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22.05</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146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147</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010-电网工程监理（运检35kV及以下）</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包5</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青海果洛玛沁县10kV桑三路02号台区低压延伸等9项工程监理</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青海省迪康咨询监理有限公司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23.92</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148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149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150</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151</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152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153</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154</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155</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156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包6</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青海海东深沟110kV变电站10kV配套送出等2项工程监理</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甘肃科源电力工程咨询有限公司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64.61</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157</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158</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011-监理(小型基建)</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国网青海海东民和县供电公司满坪供电所工程</w:t>
            </w:r>
            <w:r>
              <w:rPr>
                <w:rFonts w:ascii="宋体" w:hAnsi="宋体" w:cs="宋体" w:hint="eastAsia"/>
                <w:color w:val="000000"/>
                <w:kern w:val="0"/>
                <w:sz w:val="20"/>
                <w:szCs w:val="20"/>
                <w:lang/>
              </w:rPr>
              <w:lastRenderedPageBreak/>
              <w:t>监理</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青海省迪康咨询监理有限公司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8.16</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159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包2</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国网青海海南共和县供电公司江西沟供电所扩建等3项工程监理</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青海恒鑫工程建设监理有限责任公司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16.51</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160</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161</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162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包4</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国网青海西宁大通县供电公司朔北供电所扩建项目工程监理</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青海省迪康咨询监理有限公司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1.17</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163</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包2</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国网青海双创示范中心（成果展厅）日常运维项目服务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青海绿能数据有限公司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26</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120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164</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包3</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鱼卡-托素750千伏线路工程-GIM三维设计成果在输变电工程建设过程中的应用研究项目服务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北京洛斯达科技发展有限公司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275</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165</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包4</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沙柳（茶卡）330kV变电站新建工程等2项特殊试验项目服务</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青海电研科技有限责任公司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242.088</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166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167</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014-服务（科技科研）</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青海海西直流送电江苏适应</w:t>
            </w:r>
            <w:r>
              <w:rPr>
                <w:rFonts w:ascii="宋体" w:hAnsi="宋体" w:cs="宋体" w:hint="eastAsia"/>
                <w:color w:val="000000"/>
                <w:kern w:val="0"/>
                <w:sz w:val="20"/>
                <w:szCs w:val="20"/>
                <w:lang/>
              </w:rPr>
              <w:lastRenderedPageBreak/>
              <w:t>性研究项目服务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电力规划总院有限公司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167.5</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96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168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包2</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青豫直流工程送端新能源汇集站多种无功补偿设备配置方案研究项目服务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国网经济技术研究院有限公司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185</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96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169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包3</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国网青海电科院2020年青海电网GIS管线结构温差应力变形监测评价项目服务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青海电研科技有限责任公司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186.27</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48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170</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包4</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储能电站协调控制技术研究项目服务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清华大学</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212.22</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171</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包5</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大规模储能接入直流送端电网安全支撑技术研究项目服务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中国电力科学研究院有限公司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283</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172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包6</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共享储能电站规划技术及调控技术研究项目服务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清华大学</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212.25</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173</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014-服务（科技科研）</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包7</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基于区块链技术的共享储能运营模式及交易规则研究项目服务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浙江大学深圳研究院</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240.2</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174</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包8</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国网青海省电力公司职业卫生管理体系建设项目服务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浙江建安检测研究院有限公司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129.8</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96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175</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包9</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国网青海经研院（能研院）韵家口示范基地排水设施改造项目服务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中建国信工程建设集团有限公司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15.73012</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96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176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包10</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国网青海经研院（能研院）2020年韵家口示范基地运维服务项目服务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青海伟航北创新能源科技有限公司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55.96</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96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177</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包11</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国网青海电科院2020年度110kV变电站环境监测技术服务项目服务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浙江建安检测研究院有限公司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109.3</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48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178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包12</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新能源行业数据接入总线研发项目服务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青海绿能数据有限公司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167</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179</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015-服务（信息系统）</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国网青海信通公司-交易侧链省级节点建设-实施项目服务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国网区块链科技(北京)有限公司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410</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180</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包2</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w:t>
            </w:r>
            <w:r>
              <w:rPr>
                <w:rFonts w:ascii="宋体" w:hAnsi="宋体" w:cs="宋体" w:hint="eastAsia"/>
                <w:color w:val="000000"/>
                <w:kern w:val="0"/>
                <w:sz w:val="20"/>
                <w:szCs w:val="20"/>
                <w:lang/>
              </w:rPr>
              <w:lastRenderedPageBreak/>
              <w:t>电科院2020年青海电网雷电预警分析及防雷评估等2项项目服务</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国网电力</w:t>
            </w:r>
            <w:r>
              <w:rPr>
                <w:rFonts w:ascii="宋体" w:hAnsi="宋体" w:cs="宋体" w:hint="eastAsia"/>
                <w:color w:val="000000"/>
                <w:kern w:val="0"/>
                <w:sz w:val="20"/>
                <w:szCs w:val="20"/>
                <w:lang/>
              </w:rPr>
              <w:lastRenderedPageBreak/>
              <w:t>科学研究院武汉南瑞有限责任公司</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135.65</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w:t>
            </w:r>
            <w:r>
              <w:rPr>
                <w:rFonts w:ascii="宋体" w:hAnsi="宋体" w:cs="宋体" w:hint="eastAsia"/>
                <w:color w:val="000000"/>
                <w:kern w:val="0"/>
                <w:sz w:val="20"/>
                <w:szCs w:val="20"/>
                <w:lang/>
              </w:rPr>
              <w:lastRenderedPageBreak/>
              <w:t>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满足招标</w:t>
            </w:r>
            <w:r>
              <w:rPr>
                <w:rFonts w:ascii="宋体" w:hAnsi="宋体" w:cs="宋体" w:hint="eastAsia"/>
                <w:color w:val="000000"/>
                <w:kern w:val="0"/>
                <w:sz w:val="20"/>
                <w:szCs w:val="20"/>
                <w:lang/>
              </w:rPr>
              <w:lastRenderedPageBreak/>
              <w:t>文件要求</w:t>
            </w:r>
          </w:p>
        </w:tc>
        <w:tc>
          <w:tcPr>
            <w:tcW w:w="895"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满足招标</w:t>
            </w:r>
            <w:r>
              <w:rPr>
                <w:rFonts w:ascii="宋体" w:hAnsi="宋体" w:cs="宋体" w:hint="eastAsia"/>
                <w:color w:val="000000"/>
                <w:kern w:val="0"/>
                <w:sz w:val="20"/>
                <w:szCs w:val="20"/>
                <w:lang/>
              </w:rPr>
              <w:lastRenderedPageBreak/>
              <w:t>文件要求</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综合排序</w:t>
            </w:r>
            <w:r>
              <w:rPr>
                <w:rFonts w:ascii="宋体" w:hAnsi="宋体" w:cs="宋体" w:hint="eastAsia"/>
                <w:color w:val="000000"/>
                <w:kern w:val="0"/>
                <w:sz w:val="20"/>
                <w:szCs w:val="20"/>
                <w:lang/>
              </w:rPr>
              <w:lastRenderedPageBreak/>
              <w:t>第一</w:t>
            </w:r>
          </w:p>
        </w:tc>
      </w:tr>
      <w:tr w:rsidR="003A536A" w:rsidTr="006F23DF">
        <w:trPr>
          <w:trHeight w:val="286"/>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181</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7"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182</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015-服务（信息系统）</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包3</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国网青海电科院2020年网络安全保障专项技术服务项目服务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四维创智(北京)科技发展有限公司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64.5</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183</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包4</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国网青海电科院2020年信息系统等级保护测评项目服务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中国电力科学研究院有限公司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121.2</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184</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包5</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国网青海电科院 2020 年信息安全技术督查运维项目服务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北京中电普华信息技术有限公司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68.73</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185</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包6</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青海电网谐振风险评估与预警服务项目服务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深圳市中电电力技术股份有限公司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65.8</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96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186</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包8</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国网青海省电力公司安全生产风险管控平台建设Ⅱ期优化项目服务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南京南瑞信息通信科技有限公司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498.62</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96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187</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包9</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国网青海信通公司省调公共资源管理功能调控云化升级项目服务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南京南瑞信息通信科技有限公司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270.37</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188</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包10</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国网青海信通公司省调模型数据平台调控云化升级项目服务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南京南瑞信息通信科技有限公司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278.6</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72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189</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包11</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国网青海信通公司省调服务体系功能调控云化升级项目服务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泰豪软件股份有限公司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261.56</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96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190</w:t>
            </w:r>
          </w:p>
        </w:tc>
        <w:tc>
          <w:tcPr>
            <w:tcW w:w="902" w:type="dxa"/>
            <w:vMerge w:val="restart"/>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015-服务（信息系统）</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包12</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国网青海信通公司省调数据查询统计类应用调控云化升级项目服务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南京南瑞信息通信科技有限公司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268.15</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96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191</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包14</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国网青海信通公司省调日前发电计划与静态安全校核功能改造项目服务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泰豪软件股份有限公司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170.25</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r w:rsidR="003A536A" w:rsidTr="006F23DF">
        <w:trPr>
          <w:trHeight w:val="960"/>
        </w:trPr>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192</w:t>
            </w:r>
          </w:p>
        </w:tc>
        <w:tc>
          <w:tcPr>
            <w:tcW w:w="902" w:type="dxa"/>
            <w:vMerge/>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jc w:val="center"/>
              <w:rPr>
                <w:rFonts w:ascii="宋体" w:hAnsi="宋体" w:cs="宋体" w:hint="eastAsia"/>
                <w:color w:val="000000"/>
                <w:sz w:val="20"/>
                <w:szCs w:val="20"/>
              </w:rPr>
            </w:pP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包15</w:t>
            </w:r>
          </w:p>
        </w:tc>
        <w:tc>
          <w:tcPr>
            <w:tcW w:w="90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国网青海信通公司2020年电能质量可靠性指标分析决策</w:t>
            </w:r>
            <w:r>
              <w:rPr>
                <w:rFonts w:ascii="宋体" w:hAnsi="宋体" w:cs="宋体" w:hint="eastAsia"/>
                <w:color w:val="000000"/>
                <w:kern w:val="0"/>
                <w:sz w:val="20"/>
                <w:szCs w:val="20"/>
                <w:lang/>
              </w:rPr>
              <w:lastRenderedPageBreak/>
              <w:t>项目服务</w:t>
            </w:r>
          </w:p>
        </w:tc>
        <w:tc>
          <w:tcPr>
            <w:tcW w:w="897"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lastRenderedPageBreak/>
              <w:t>北京中恒博瑞数字电力科技有限公司</w:t>
            </w:r>
          </w:p>
        </w:tc>
        <w:tc>
          <w:tcPr>
            <w:tcW w:w="1032"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83.387</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5"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满足招标文件要求</w:t>
            </w:r>
          </w:p>
        </w:tc>
        <w:tc>
          <w:tcPr>
            <w:tcW w:w="890" w:type="dxa"/>
            <w:tcBorders>
              <w:top w:val="single" w:sz="4" w:space="0" w:color="000000"/>
              <w:left w:val="single" w:sz="4" w:space="0" w:color="000000"/>
              <w:bottom w:val="single" w:sz="4" w:space="0" w:color="000000"/>
              <w:right w:val="single" w:sz="4" w:space="0" w:color="000000"/>
            </w:tcBorders>
            <w:vAlign w:val="center"/>
          </w:tcPr>
          <w:p w:rsidR="003A536A" w:rsidRDefault="003A536A" w:rsidP="006F23DF">
            <w:pPr>
              <w:widowControl/>
              <w:jc w:val="center"/>
              <w:textAlignment w:val="center"/>
              <w:rPr>
                <w:rFonts w:ascii="宋体" w:hAnsi="宋体" w:cs="宋体" w:hint="eastAsia"/>
                <w:color w:val="000000"/>
                <w:sz w:val="20"/>
                <w:szCs w:val="20"/>
              </w:rPr>
            </w:pPr>
            <w:r>
              <w:rPr>
                <w:rFonts w:ascii="宋体" w:hAnsi="宋体" w:cs="宋体" w:hint="eastAsia"/>
                <w:color w:val="000000"/>
                <w:kern w:val="0"/>
                <w:sz w:val="20"/>
                <w:szCs w:val="20"/>
                <w:lang/>
              </w:rPr>
              <w:t>综合排序第一</w:t>
            </w:r>
          </w:p>
        </w:tc>
      </w:tr>
    </w:tbl>
    <w:p w:rsidR="009A5DFD" w:rsidRPr="003A536A" w:rsidRDefault="009A5DFD" w:rsidP="003A536A">
      <w:pPr>
        <w:rPr>
          <w:szCs w:val="24"/>
        </w:rPr>
      </w:pPr>
    </w:p>
    <w:sectPr w:rsidR="009A5DFD" w:rsidRPr="003A536A" w:rsidSect="00756B0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40BA" w:rsidRDefault="002740BA" w:rsidP="00DE7AA8">
      <w:r>
        <w:separator/>
      </w:r>
    </w:p>
  </w:endnote>
  <w:endnote w:type="continuationSeparator" w:id="0">
    <w:p w:rsidR="002740BA" w:rsidRDefault="002740BA" w:rsidP="00DE7AA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0000000000000000000"/>
    <w:charset w:val="86"/>
    <w:family w:val="modern"/>
    <w:notTrueType/>
    <w:pitch w:val="fixed"/>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40BA" w:rsidRDefault="002740BA" w:rsidP="00DE7AA8">
      <w:r>
        <w:separator/>
      </w:r>
    </w:p>
  </w:footnote>
  <w:footnote w:type="continuationSeparator" w:id="0">
    <w:p w:rsidR="002740BA" w:rsidRDefault="002740BA" w:rsidP="00DE7AA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E7AA8"/>
    <w:rsid w:val="000B7599"/>
    <w:rsid w:val="00101B9D"/>
    <w:rsid w:val="001F7A0A"/>
    <w:rsid w:val="002740BA"/>
    <w:rsid w:val="00290933"/>
    <w:rsid w:val="002D46BA"/>
    <w:rsid w:val="00353A80"/>
    <w:rsid w:val="003A536A"/>
    <w:rsid w:val="003D7EC6"/>
    <w:rsid w:val="003F308D"/>
    <w:rsid w:val="00410BBB"/>
    <w:rsid w:val="0045230B"/>
    <w:rsid w:val="004967F2"/>
    <w:rsid w:val="004C0B99"/>
    <w:rsid w:val="004D21AA"/>
    <w:rsid w:val="004D56B1"/>
    <w:rsid w:val="00527DC8"/>
    <w:rsid w:val="00552D2A"/>
    <w:rsid w:val="00571BD0"/>
    <w:rsid w:val="00572BF8"/>
    <w:rsid w:val="00581CB7"/>
    <w:rsid w:val="00617438"/>
    <w:rsid w:val="006371D5"/>
    <w:rsid w:val="006422B9"/>
    <w:rsid w:val="00643463"/>
    <w:rsid w:val="00646B8B"/>
    <w:rsid w:val="0072638A"/>
    <w:rsid w:val="00756B00"/>
    <w:rsid w:val="007B4DB2"/>
    <w:rsid w:val="007E6044"/>
    <w:rsid w:val="007F2866"/>
    <w:rsid w:val="0090328B"/>
    <w:rsid w:val="00906A4B"/>
    <w:rsid w:val="00912B66"/>
    <w:rsid w:val="00966501"/>
    <w:rsid w:val="009930A5"/>
    <w:rsid w:val="009966A5"/>
    <w:rsid w:val="009A5DFD"/>
    <w:rsid w:val="00A003AA"/>
    <w:rsid w:val="00A80611"/>
    <w:rsid w:val="00A9641F"/>
    <w:rsid w:val="00A97448"/>
    <w:rsid w:val="00AF0BEC"/>
    <w:rsid w:val="00B16525"/>
    <w:rsid w:val="00BA04F8"/>
    <w:rsid w:val="00BD781B"/>
    <w:rsid w:val="00C13BFE"/>
    <w:rsid w:val="00D867B2"/>
    <w:rsid w:val="00D9636C"/>
    <w:rsid w:val="00DA7D82"/>
    <w:rsid w:val="00DE7AA8"/>
    <w:rsid w:val="00E31F94"/>
    <w:rsid w:val="00E560FD"/>
    <w:rsid w:val="00E60769"/>
    <w:rsid w:val="00E613FA"/>
    <w:rsid w:val="00EB41DA"/>
    <w:rsid w:val="00F063F0"/>
    <w:rsid w:val="00F24D4D"/>
    <w:rsid w:val="00F32026"/>
    <w:rsid w:val="00F43269"/>
    <w:rsid w:val="00F631B7"/>
    <w:rsid w:val="00F85767"/>
    <w:rsid w:val="00FA535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536A"/>
    <w:pPr>
      <w:widowControl w:val="0"/>
      <w:jc w:val="both"/>
    </w:pPr>
    <w:rPr>
      <w:rFonts w:ascii="Times New Roman" w:eastAsia="宋体" w:hAnsi="Times New Roman" w:cs="Times New Roman"/>
    </w:rPr>
  </w:style>
  <w:style w:type="paragraph" w:styleId="2">
    <w:name w:val="heading 2"/>
    <w:basedOn w:val="a"/>
    <w:next w:val="a"/>
    <w:link w:val="2Char"/>
    <w:uiPriority w:val="9"/>
    <w:qFormat/>
    <w:rsid w:val="003A536A"/>
    <w:pPr>
      <w:keepNext/>
      <w:keepLines/>
      <w:adjustRightInd w:val="0"/>
      <w:snapToGrid w:val="0"/>
      <w:spacing w:beforeLines="50" w:afterLines="50" w:line="360" w:lineRule="auto"/>
      <w:outlineLvl w:val="1"/>
    </w:pPr>
    <w:rPr>
      <w:b/>
      <w:sz w:val="28"/>
      <w:szCs w:val="20"/>
    </w:rPr>
  </w:style>
  <w:style w:type="paragraph" w:styleId="3">
    <w:name w:val="heading 3"/>
    <w:basedOn w:val="a"/>
    <w:link w:val="3Char"/>
    <w:uiPriority w:val="9"/>
    <w:qFormat/>
    <w:rsid w:val="00DE7AA8"/>
    <w:pPr>
      <w:widowControl/>
      <w:spacing w:before="100" w:beforeAutospacing="1" w:after="100" w:afterAutospacing="1"/>
      <w:jc w:val="left"/>
      <w:outlineLvl w:val="2"/>
    </w:pPr>
    <w:rPr>
      <w:rFonts w:ascii="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E7AA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DE7AA8"/>
    <w:rPr>
      <w:sz w:val="18"/>
      <w:szCs w:val="18"/>
    </w:rPr>
  </w:style>
  <w:style w:type="paragraph" w:styleId="a4">
    <w:name w:val="footer"/>
    <w:basedOn w:val="a"/>
    <w:link w:val="Char0"/>
    <w:uiPriority w:val="99"/>
    <w:unhideWhenUsed/>
    <w:rsid w:val="00DE7AA8"/>
    <w:pPr>
      <w:tabs>
        <w:tab w:val="center" w:pos="4153"/>
        <w:tab w:val="right" w:pos="8306"/>
      </w:tabs>
      <w:snapToGrid w:val="0"/>
      <w:jc w:val="left"/>
    </w:pPr>
    <w:rPr>
      <w:sz w:val="18"/>
      <w:szCs w:val="18"/>
    </w:rPr>
  </w:style>
  <w:style w:type="character" w:customStyle="1" w:styleId="Char0">
    <w:name w:val="页脚 Char"/>
    <w:basedOn w:val="a0"/>
    <w:link w:val="a4"/>
    <w:uiPriority w:val="99"/>
    <w:rsid w:val="00DE7AA8"/>
    <w:rPr>
      <w:sz w:val="18"/>
      <w:szCs w:val="18"/>
    </w:rPr>
  </w:style>
  <w:style w:type="character" w:customStyle="1" w:styleId="3Char">
    <w:name w:val="标题 3 Char"/>
    <w:basedOn w:val="a0"/>
    <w:link w:val="3"/>
    <w:uiPriority w:val="9"/>
    <w:rsid w:val="00DE7AA8"/>
    <w:rPr>
      <w:rFonts w:ascii="宋体" w:eastAsia="宋体" w:hAnsi="宋体" w:cs="宋体"/>
      <w:kern w:val="0"/>
      <w:sz w:val="24"/>
      <w:szCs w:val="24"/>
    </w:rPr>
  </w:style>
  <w:style w:type="character" w:styleId="a5">
    <w:name w:val="Hyperlink"/>
    <w:basedOn w:val="a0"/>
    <w:uiPriority w:val="99"/>
    <w:unhideWhenUsed/>
    <w:rsid w:val="00DE7AA8"/>
    <w:rPr>
      <w:strike w:val="0"/>
      <w:dstrike w:val="0"/>
      <w:color w:val="0000FF"/>
      <w:u w:val="none"/>
      <w:effect w:val="none"/>
    </w:rPr>
  </w:style>
  <w:style w:type="paragraph" w:styleId="a6">
    <w:name w:val="Normal (Web)"/>
    <w:basedOn w:val="a"/>
    <w:uiPriority w:val="99"/>
    <w:unhideWhenUsed/>
    <w:rsid w:val="00617438"/>
    <w:pPr>
      <w:widowControl/>
      <w:spacing w:before="100" w:beforeAutospacing="1" w:after="100" w:afterAutospacing="1"/>
      <w:jc w:val="left"/>
    </w:pPr>
    <w:rPr>
      <w:rFonts w:ascii="宋体" w:hAnsi="宋体" w:cs="宋体"/>
      <w:kern w:val="0"/>
      <w:sz w:val="24"/>
      <w:szCs w:val="24"/>
    </w:rPr>
  </w:style>
  <w:style w:type="paragraph" w:styleId="a7">
    <w:name w:val="Body Text Indent"/>
    <w:basedOn w:val="a"/>
    <w:link w:val="Char1"/>
    <w:uiPriority w:val="99"/>
    <w:semiHidden/>
    <w:unhideWhenUsed/>
    <w:rsid w:val="00617438"/>
    <w:pPr>
      <w:widowControl/>
      <w:spacing w:before="100" w:beforeAutospacing="1" w:after="100" w:afterAutospacing="1"/>
      <w:jc w:val="left"/>
    </w:pPr>
    <w:rPr>
      <w:rFonts w:ascii="宋体" w:hAnsi="宋体" w:cs="宋体"/>
      <w:kern w:val="0"/>
      <w:sz w:val="24"/>
      <w:szCs w:val="24"/>
    </w:rPr>
  </w:style>
  <w:style w:type="character" w:customStyle="1" w:styleId="Char1">
    <w:name w:val="正文文本缩进 Char"/>
    <w:basedOn w:val="a0"/>
    <w:link w:val="a7"/>
    <w:uiPriority w:val="99"/>
    <w:semiHidden/>
    <w:rsid w:val="00617438"/>
    <w:rPr>
      <w:rFonts w:ascii="宋体" w:eastAsia="宋体" w:hAnsi="宋体" w:cs="宋体"/>
      <w:kern w:val="0"/>
      <w:sz w:val="24"/>
      <w:szCs w:val="24"/>
    </w:rPr>
  </w:style>
  <w:style w:type="paragraph" w:styleId="a8">
    <w:name w:val="List Paragraph"/>
    <w:basedOn w:val="a"/>
    <w:uiPriority w:val="34"/>
    <w:qFormat/>
    <w:rsid w:val="00617438"/>
    <w:pPr>
      <w:widowControl/>
      <w:spacing w:before="100" w:beforeAutospacing="1" w:after="100" w:afterAutospacing="1"/>
      <w:jc w:val="left"/>
    </w:pPr>
    <w:rPr>
      <w:rFonts w:ascii="宋体" w:hAnsi="宋体" w:cs="宋体"/>
      <w:kern w:val="0"/>
      <w:sz w:val="24"/>
      <w:szCs w:val="24"/>
    </w:rPr>
  </w:style>
  <w:style w:type="character" w:customStyle="1" w:styleId="2Char">
    <w:name w:val="标题 2 Char"/>
    <w:basedOn w:val="a0"/>
    <w:link w:val="2"/>
    <w:uiPriority w:val="9"/>
    <w:rsid w:val="003A536A"/>
    <w:rPr>
      <w:rFonts w:ascii="Times New Roman" w:eastAsia="宋体" w:hAnsi="Times New Roman" w:cs="Times New Roman"/>
      <w:b/>
      <w:sz w:val="28"/>
      <w:szCs w:val="20"/>
    </w:rPr>
  </w:style>
  <w:style w:type="character" w:customStyle="1" w:styleId="Char2">
    <w:name w:val="批注主题 Char"/>
    <w:link w:val="a9"/>
    <w:uiPriority w:val="99"/>
    <w:rsid w:val="003A536A"/>
    <w:rPr>
      <w:b/>
      <w:bCs/>
    </w:rPr>
  </w:style>
  <w:style w:type="character" w:customStyle="1" w:styleId="selecthover">
    <w:name w:val="selecthover"/>
    <w:basedOn w:val="a0"/>
    <w:rsid w:val="003A536A"/>
    <w:rPr>
      <w:color w:val="FFFFFF"/>
      <w:shd w:val="clear" w:color="auto" w:fill="316AC5"/>
    </w:rPr>
  </w:style>
  <w:style w:type="character" w:customStyle="1" w:styleId="Char3">
    <w:name w:val="文档结构图 Char"/>
    <w:link w:val="aa"/>
    <w:uiPriority w:val="99"/>
    <w:rsid w:val="003A536A"/>
    <w:rPr>
      <w:rFonts w:ascii="宋体"/>
      <w:sz w:val="18"/>
      <w:szCs w:val="18"/>
    </w:rPr>
  </w:style>
  <w:style w:type="character" w:customStyle="1" w:styleId="Char4">
    <w:name w:val="日期 Char"/>
    <w:basedOn w:val="a0"/>
    <w:link w:val="ab"/>
    <w:uiPriority w:val="99"/>
    <w:rsid w:val="003A536A"/>
  </w:style>
  <w:style w:type="character" w:styleId="ac">
    <w:name w:val="FollowedHyperlink"/>
    <w:basedOn w:val="a0"/>
    <w:uiPriority w:val="99"/>
    <w:unhideWhenUsed/>
    <w:rsid w:val="003A536A"/>
    <w:rPr>
      <w:color w:val="666666"/>
      <w:u w:val="none"/>
    </w:rPr>
  </w:style>
  <w:style w:type="character" w:customStyle="1" w:styleId="15Char">
    <w:name w:val="样式15 Char"/>
    <w:link w:val="15"/>
    <w:rsid w:val="003A536A"/>
    <w:rPr>
      <w:rFonts w:ascii="仿宋_GB2312" w:eastAsia="仿宋_GB2312" w:hAnsi="宋体"/>
      <w:sz w:val="32"/>
      <w:szCs w:val="32"/>
    </w:rPr>
  </w:style>
  <w:style w:type="character" w:customStyle="1" w:styleId="Char5">
    <w:name w:val="批注框文本 Char"/>
    <w:link w:val="ad"/>
    <w:uiPriority w:val="99"/>
    <w:rsid w:val="003A536A"/>
    <w:rPr>
      <w:sz w:val="18"/>
      <w:szCs w:val="18"/>
    </w:rPr>
  </w:style>
  <w:style w:type="character" w:styleId="ae">
    <w:name w:val="annotation reference"/>
    <w:uiPriority w:val="99"/>
    <w:unhideWhenUsed/>
    <w:rsid w:val="003A536A"/>
    <w:rPr>
      <w:sz w:val="21"/>
      <w:szCs w:val="21"/>
    </w:rPr>
  </w:style>
  <w:style w:type="character" w:customStyle="1" w:styleId="Char6">
    <w:name w:val="批注文字 Char"/>
    <w:link w:val="af"/>
    <w:uiPriority w:val="99"/>
    <w:rsid w:val="003A536A"/>
  </w:style>
  <w:style w:type="paragraph" w:styleId="af">
    <w:name w:val="annotation text"/>
    <w:basedOn w:val="a"/>
    <w:link w:val="Char6"/>
    <w:uiPriority w:val="99"/>
    <w:unhideWhenUsed/>
    <w:rsid w:val="003A536A"/>
    <w:pPr>
      <w:jc w:val="left"/>
    </w:pPr>
    <w:rPr>
      <w:rFonts w:asciiTheme="minorHAnsi" w:eastAsiaTheme="minorEastAsia" w:hAnsiTheme="minorHAnsi" w:cstheme="minorBidi"/>
    </w:rPr>
  </w:style>
  <w:style w:type="character" w:customStyle="1" w:styleId="Char10">
    <w:name w:val="批注文字 Char1"/>
    <w:basedOn w:val="a0"/>
    <w:link w:val="af"/>
    <w:uiPriority w:val="99"/>
    <w:semiHidden/>
    <w:rsid w:val="003A536A"/>
    <w:rPr>
      <w:rFonts w:ascii="Times New Roman" w:eastAsia="宋体" w:hAnsi="Times New Roman" w:cs="Times New Roman"/>
    </w:rPr>
  </w:style>
  <w:style w:type="paragraph" w:styleId="aa">
    <w:name w:val="Document Map"/>
    <w:basedOn w:val="a"/>
    <w:link w:val="Char3"/>
    <w:uiPriority w:val="99"/>
    <w:unhideWhenUsed/>
    <w:rsid w:val="003A536A"/>
    <w:rPr>
      <w:rFonts w:ascii="宋体" w:eastAsiaTheme="minorEastAsia" w:hAnsiTheme="minorHAnsi" w:cstheme="minorBidi"/>
      <w:sz w:val="18"/>
      <w:szCs w:val="18"/>
    </w:rPr>
  </w:style>
  <w:style w:type="character" w:customStyle="1" w:styleId="Char11">
    <w:name w:val="文档结构图 Char1"/>
    <w:basedOn w:val="a0"/>
    <w:link w:val="aa"/>
    <w:uiPriority w:val="99"/>
    <w:semiHidden/>
    <w:rsid w:val="003A536A"/>
    <w:rPr>
      <w:rFonts w:ascii="宋体" w:eastAsia="宋体" w:hAnsi="Times New Roman" w:cs="Times New Roman"/>
      <w:sz w:val="18"/>
      <w:szCs w:val="18"/>
    </w:rPr>
  </w:style>
  <w:style w:type="paragraph" w:styleId="a9">
    <w:name w:val="annotation subject"/>
    <w:basedOn w:val="af"/>
    <w:next w:val="af"/>
    <w:link w:val="Char2"/>
    <w:uiPriority w:val="99"/>
    <w:unhideWhenUsed/>
    <w:rsid w:val="003A536A"/>
    <w:rPr>
      <w:b/>
      <w:bCs/>
    </w:rPr>
  </w:style>
  <w:style w:type="character" w:customStyle="1" w:styleId="Char12">
    <w:name w:val="批注主题 Char1"/>
    <w:basedOn w:val="Char10"/>
    <w:link w:val="a9"/>
    <w:uiPriority w:val="99"/>
    <w:semiHidden/>
    <w:rsid w:val="003A536A"/>
    <w:rPr>
      <w:b/>
      <w:bCs/>
    </w:rPr>
  </w:style>
  <w:style w:type="paragraph" w:styleId="ad">
    <w:name w:val="Balloon Text"/>
    <w:basedOn w:val="a"/>
    <w:link w:val="Char5"/>
    <w:uiPriority w:val="99"/>
    <w:unhideWhenUsed/>
    <w:rsid w:val="003A536A"/>
    <w:rPr>
      <w:rFonts w:asciiTheme="minorHAnsi" w:eastAsiaTheme="minorEastAsia" w:hAnsiTheme="minorHAnsi" w:cstheme="minorBidi"/>
      <w:sz w:val="18"/>
      <w:szCs w:val="18"/>
    </w:rPr>
  </w:style>
  <w:style w:type="character" w:customStyle="1" w:styleId="Char13">
    <w:name w:val="批注框文本 Char1"/>
    <w:basedOn w:val="a0"/>
    <w:link w:val="ad"/>
    <w:uiPriority w:val="99"/>
    <w:semiHidden/>
    <w:rsid w:val="003A536A"/>
    <w:rPr>
      <w:rFonts w:ascii="Times New Roman" w:eastAsia="宋体" w:hAnsi="Times New Roman" w:cs="Times New Roman"/>
      <w:sz w:val="18"/>
      <w:szCs w:val="18"/>
    </w:rPr>
  </w:style>
  <w:style w:type="paragraph" w:styleId="ab">
    <w:name w:val="Date"/>
    <w:basedOn w:val="a"/>
    <w:next w:val="a"/>
    <w:link w:val="Char4"/>
    <w:uiPriority w:val="99"/>
    <w:unhideWhenUsed/>
    <w:rsid w:val="003A536A"/>
    <w:pPr>
      <w:ind w:leftChars="2500" w:left="100"/>
    </w:pPr>
    <w:rPr>
      <w:rFonts w:asciiTheme="minorHAnsi" w:eastAsiaTheme="minorEastAsia" w:hAnsiTheme="minorHAnsi" w:cstheme="minorBidi"/>
    </w:rPr>
  </w:style>
  <w:style w:type="character" w:customStyle="1" w:styleId="Char14">
    <w:name w:val="日期 Char1"/>
    <w:basedOn w:val="a0"/>
    <w:link w:val="ab"/>
    <w:uiPriority w:val="99"/>
    <w:semiHidden/>
    <w:rsid w:val="003A536A"/>
    <w:rPr>
      <w:rFonts w:ascii="Times New Roman" w:eastAsia="宋体" w:hAnsi="Times New Roman" w:cs="Times New Roman"/>
    </w:rPr>
  </w:style>
  <w:style w:type="paragraph" w:customStyle="1" w:styleId="15">
    <w:name w:val="样式15"/>
    <w:basedOn w:val="a"/>
    <w:link w:val="15Char"/>
    <w:qFormat/>
    <w:rsid w:val="003A536A"/>
    <w:pPr>
      <w:spacing w:line="360" w:lineRule="auto"/>
      <w:ind w:right="-58" w:firstLineChars="200" w:firstLine="640"/>
    </w:pPr>
    <w:rPr>
      <w:rFonts w:ascii="仿宋_GB2312" w:eastAsia="仿宋_GB2312" w:hAnsi="宋体" w:cstheme="minorBidi"/>
      <w:sz w:val="32"/>
      <w:szCs w:val="32"/>
    </w:rPr>
  </w:style>
  <w:style w:type="table" w:styleId="af0">
    <w:name w:val="Table Grid"/>
    <w:basedOn w:val="a1"/>
    <w:uiPriority w:val="59"/>
    <w:rsid w:val="003A536A"/>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46127942">
      <w:bodyDiv w:val="1"/>
      <w:marLeft w:val="0"/>
      <w:marRight w:val="0"/>
      <w:marTop w:val="0"/>
      <w:marBottom w:val="0"/>
      <w:divBdr>
        <w:top w:val="none" w:sz="0" w:space="0" w:color="auto"/>
        <w:left w:val="none" w:sz="0" w:space="0" w:color="auto"/>
        <w:bottom w:val="none" w:sz="0" w:space="0" w:color="auto"/>
        <w:right w:val="none" w:sz="0" w:space="0" w:color="auto"/>
      </w:divBdr>
    </w:div>
    <w:div w:id="1931817384">
      <w:bodyDiv w:val="1"/>
      <w:marLeft w:val="0"/>
      <w:marRight w:val="0"/>
      <w:marTop w:val="0"/>
      <w:marBottom w:val="0"/>
      <w:divBdr>
        <w:top w:val="none" w:sz="0" w:space="0" w:color="auto"/>
        <w:left w:val="none" w:sz="0" w:space="0" w:color="auto"/>
        <w:bottom w:val="none" w:sz="0" w:space="0" w:color="auto"/>
        <w:right w:val="none" w:sz="0" w:space="0" w:color="auto"/>
      </w:divBdr>
      <w:divsChild>
        <w:div w:id="991103340">
          <w:marLeft w:val="0"/>
          <w:marRight w:val="0"/>
          <w:marTop w:val="0"/>
          <w:marBottom w:val="0"/>
          <w:divBdr>
            <w:top w:val="none" w:sz="0" w:space="0" w:color="auto"/>
            <w:left w:val="none" w:sz="0" w:space="0" w:color="auto"/>
            <w:bottom w:val="none" w:sz="0" w:space="0" w:color="auto"/>
            <w:right w:val="none" w:sz="0" w:space="0" w:color="auto"/>
          </w:divBdr>
          <w:divsChild>
            <w:div w:id="1738016486">
              <w:marLeft w:val="0"/>
              <w:marRight w:val="0"/>
              <w:marTop w:val="0"/>
              <w:marBottom w:val="0"/>
              <w:divBdr>
                <w:top w:val="single" w:sz="6" w:space="31" w:color="E8E8E8"/>
                <w:left w:val="single" w:sz="6" w:space="31" w:color="E8E8E8"/>
                <w:bottom w:val="single" w:sz="6" w:space="18" w:color="E8E8E8"/>
                <w:right w:val="single" w:sz="6" w:space="31" w:color="E8E8E8"/>
              </w:divBdr>
              <w:divsChild>
                <w:div w:id="404572001">
                  <w:marLeft w:val="0"/>
                  <w:marRight w:val="0"/>
                  <w:marTop w:val="0"/>
                  <w:marBottom w:val="0"/>
                  <w:divBdr>
                    <w:top w:val="none" w:sz="0" w:space="0" w:color="auto"/>
                    <w:left w:val="none" w:sz="0" w:space="0" w:color="auto"/>
                    <w:bottom w:val="none" w:sz="0" w:space="0" w:color="auto"/>
                    <w:right w:val="none" w:sz="0" w:space="0" w:color="auto"/>
                  </w:divBdr>
                  <w:divsChild>
                    <w:div w:id="1022970769">
                      <w:marLeft w:val="105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095382">
      <w:bodyDiv w:val="1"/>
      <w:marLeft w:val="0"/>
      <w:marRight w:val="0"/>
      <w:marTop w:val="0"/>
      <w:marBottom w:val="0"/>
      <w:divBdr>
        <w:top w:val="none" w:sz="0" w:space="0" w:color="auto"/>
        <w:left w:val="none" w:sz="0" w:space="0" w:color="auto"/>
        <w:bottom w:val="none" w:sz="0" w:space="0" w:color="auto"/>
        <w:right w:val="none" w:sz="0" w:space="0" w:color="auto"/>
      </w:divBdr>
      <w:divsChild>
        <w:div w:id="74207294">
          <w:marLeft w:val="0"/>
          <w:marRight w:val="0"/>
          <w:marTop w:val="0"/>
          <w:marBottom w:val="0"/>
          <w:divBdr>
            <w:top w:val="none" w:sz="0" w:space="0" w:color="auto"/>
            <w:left w:val="none" w:sz="0" w:space="0" w:color="auto"/>
            <w:bottom w:val="none" w:sz="0" w:space="0" w:color="auto"/>
            <w:right w:val="none" w:sz="0" w:space="0" w:color="auto"/>
          </w:divBdr>
          <w:divsChild>
            <w:div w:id="1757824969">
              <w:marLeft w:val="0"/>
              <w:marRight w:val="0"/>
              <w:marTop w:val="0"/>
              <w:marBottom w:val="0"/>
              <w:divBdr>
                <w:top w:val="single" w:sz="6" w:space="31" w:color="E8E8E8"/>
                <w:left w:val="single" w:sz="6" w:space="31" w:color="E8E8E8"/>
                <w:bottom w:val="single" w:sz="6" w:space="18" w:color="E8E8E8"/>
                <w:right w:val="single" w:sz="6" w:space="31" w:color="E8E8E8"/>
              </w:divBdr>
              <w:divsChild>
                <w:div w:id="1499534796">
                  <w:marLeft w:val="0"/>
                  <w:marRight w:val="0"/>
                  <w:marTop w:val="150"/>
                  <w:marBottom w:val="300"/>
                  <w:divBdr>
                    <w:top w:val="none" w:sz="0" w:space="0" w:color="auto"/>
                    <w:left w:val="none" w:sz="0" w:space="0" w:color="auto"/>
                    <w:bottom w:val="none" w:sz="0" w:space="0" w:color="auto"/>
                    <w:right w:val="none" w:sz="0" w:space="0" w:color="auto"/>
                  </w:divBdr>
                </w:div>
                <w:div w:id="109412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1587</Words>
  <Characters>9050</Characters>
  <Application>Microsoft Office Word</Application>
  <DocSecurity>0</DocSecurity>
  <Lines>75</Lines>
  <Paragraphs>21</Paragraphs>
  <ScaleCrop>false</ScaleCrop>
  <Company>Microsoft</Company>
  <LinksUpToDate>false</LinksUpToDate>
  <CharactersWithSpaces>10616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scyx</dc:creator>
  <cp:lastModifiedBy>xbany</cp:lastModifiedBy>
  <cp:revision>2</cp:revision>
  <dcterms:created xsi:type="dcterms:W3CDTF">2020-07-09T07:36:00Z</dcterms:created>
  <dcterms:modified xsi:type="dcterms:W3CDTF">2020-07-09T07:36:00Z</dcterms:modified>
</cp:coreProperties>
</file>