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15045" w:type="dxa"/>
        <w:tblLayout w:type="fixed"/>
        <w:tblCellMar>
          <w:left w:w="0" w:type="dxa"/>
          <w:right w:w="0" w:type="dxa"/>
        </w:tblCellMar>
        <w:tblLook w:val="04A0"/>
      </w:tblPr>
      <w:tblGrid>
        <w:gridCol w:w="630"/>
        <w:gridCol w:w="885"/>
        <w:gridCol w:w="570"/>
        <w:gridCol w:w="1320"/>
        <w:gridCol w:w="1380"/>
        <w:gridCol w:w="1005"/>
        <w:gridCol w:w="765"/>
        <w:gridCol w:w="2685"/>
        <w:gridCol w:w="1305"/>
        <w:gridCol w:w="1005"/>
        <w:gridCol w:w="2310"/>
        <w:gridCol w:w="1185"/>
      </w:tblGrid>
      <w:tr w:rsidR="00CC5871">
        <w:trPr>
          <w:trHeight w:val="720"/>
        </w:trPr>
        <w:tc>
          <w:tcPr>
            <w:tcW w:w="15045" w:type="dxa"/>
            <w:gridSpan w:val="12"/>
            <w:tcBorders>
              <w:top w:val="nil"/>
              <w:left w:val="nil"/>
              <w:bottom w:val="nil"/>
              <w:right w:val="nil"/>
            </w:tcBorders>
            <w:tcMar>
              <w:top w:w="15" w:type="dxa"/>
              <w:left w:w="15" w:type="dxa"/>
              <w:right w:w="15" w:type="dxa"/>
            </w:tcMar>
            <w:vAlign w:val="center"/>
          </w:tcPr>
          <w:p w:rsidR="00CC5871" w:rsidRDefault="00107940">
            <w:pPr>
              <w:widowControl/>
              <w:jc w:val="center"/>
              <w:textAlignment w:val="center"/>
              <w:rPr>
                <w:rFonts w:ascii="宋体" w:hAnsi="宋体" w:cs="宋体"/>
                <w:b/>
                <w:color w:val="000000"/>
                <w:sz w:val="24"/>
                <w:szCs w:val="24"/>
              </w:rPr>
            </w:pPr>
            <w:r>
              <w:rPr>
                <w:rFonts w:ascii="宋体" w:hAnsi="宋体" w:cs="宋体" w:hint="eastAsia"/>
                <w:b/>
                <w:color w:val="000000"/>
                <w:kern w:val="0"/>
                <w:sz w:val="24"/>
                <w:szCs w:val="24"/>
                <w:lang/>
              </w:rPr>
              <w:t>附件</w:t>
            </w:r>
            <w:r>
              <w:rPr>
                <w:rFonts w:ascii="宋体" w:hAnsi="宋体" w:cs="宋体" w:hint="eastAsia"/>
                <w:b/>
                <w:color w:val="000000"/>
                <w:kern w:val="0"/>
                <w:sz w:val="24"/>
                <w:szCs w:val="24"/>
                <w:lang/>
              </w:rPr>
              <w:t>1</w:t>
            </w:r>
            <w:r>
              <w:rPr>
                <w:rFonts w:ascii="宋体" w:hAnsi="宋体" w:cs="宋体" w:hint="eastAsia"/>
                <w:b/>
                <w:color w:val="000000"/>
                <w:kern w:val="0"/>
                <w:sz w:val="24"/>
                <w:szCs w:val="24"/>
                <w:lang/>
              </w:rPr>
              <w:t>：国网青海省电力公司</w:t>
            </w:r>
            <w:r>
              <w:rPr>
                <w:rFonts w:ascii="宋体" w:hAnsi="宋体" w:cs="宋体" w:hint="eastAsia"/>
                <w:b/>
                <w:color w:val="000000"/>
                <w:kern w:val="0"/>
                <w:sz w:val="24"/>
                <w:szCs w:val="24"/>
                <w:lang/>
              </w:rPr>
              <w:t>2020</w:t>
            </w:r>
            <w:r>
              <w:rPr>
                <w:rFonts w:ascii="宋体" w:hAnsi="宋体" w:cs="宋体" w:hint="eastAsia"/>
                <w:b/>
                <w:color w:val="000000"/>
                <w:kern w:val="0"/>
                <w:sz w:val="24"/>
                <w:szCs w:val="24"/>
                <w:lang/>
              </w:rPr>
              <w:t>年第二次零星工程及服务类框架协议与定点采购项目（采购编号：</w:t>
            </w:r>
            <w:r>
              <w:rPr>
                <w:rFonts w:ascii="宋体" w:hAnsi="宋体" w:cs="宋体" w:hint="eastAsia"/>
                <w:b/>
                <w:color w:val="000000"/>
                <w:kern w:val="0"/>
                <w:sz w:val="24"/>
                <w:szCs w:val="24"/>
                <w:lang/>
              </w:rPr>
              <w:t>282040</w:t>
            </w:r>
            <w:r>
              <w:rPr>
                <w:rFonts w:ascii="宋体" w:hAnsi="宋体" w:cs="宋体" w:hint="eastAsia"/>
                <w:b/>
                <w:color w:val="000000"/>
                <w:kern w:val="0"/>
                <w:sz w:val="24"/>
                <w:szCs w:val="24"/>
                <w:lang/>
              </w:rPr>
              <w:t>）采购需求一览表</w:t>
            </w:r>
          </w:p>
        </w:tc>
      </w:tr>
      <w:tr w:rsidR="00CC5871">
        <w:trPr>
          <w:trHeight w:val="630"/>
        </w:trPr>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序号</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分标编号</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包号</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包名称</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项目名称</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项目单位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项目管理部门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工程规模</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计划开工、竣工（完成、结束）日期</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最终入围家数（家）</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专用资质要求</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采购文件购买</w:t>
            </w:r>
          </w:p>
        </w:tc>
      </w:tr>
      <w:tr w:rsidR="00CC5871">
        <w:trPr>
          <w:trHeight w:val="105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88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001</w:t>
            </w:r>
            <w:r>
              <w:rPr>
                <w:rFonts w:ascii="宋体" w:hAnsi="宋体" w:cs="宋体" w:hint="eastAsia"/>
                <w:color w:val="000000"/>
                <w:kern w:val="0"/>
                <w:sz w:val="16"/>
                <w:szCs w:val="16"/>
                <w:lang/>
              </w:rPr>
              <w:t>服务（电网工程咨询）</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国网青海省电力公司输变电工程环保验收调查服务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国网青海省电力公司输变电工程环保验收调查服务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国网青海省电力公司建设部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青海电网</w:t>
            </w:r>
            <w:r>
              <w:rPr>
                <w:rFonts w:ascii="宋体" w:hAnsi="宋体" w:cs="宋体" w:hint="eastAsia"/>
                <w:color w:val="000000"/>
                <w:kern w:val="0"/>
                <w:sz w:val="16"/>
                <w:szCs w:val="16"/>
                <w:lang/>
              </w:rPr>
              <w:t>2020-2021</w:t>
            </w:r>
            <w:r>
              <w:rPr>
                <w:rFonts w:ascii="宋体" w:hAnsi="宋体" w:cs="宋体" w:hint="eastAsia"/>
                <w:color w:val="000000"/>
                <w:kern w:val="0"/>
                <w:sz w:val="16"/>
                <w:szCs w:val="16"/>
                <w:lang/>
              </w:rPr>
              <w:t>年度续建、新建及扩建</w:t>
            </w:r>
            <w:r>
              <w:rPr>
                <w:rFonts w:ascii="宋体" w:hAnsi="宋体" w:cs="宋体" w:hint="eastAsia"/>
                <w:color w:val="000000"/>
                <w:kern w:val="0"/>
                <w:sz w:val="16"/>
                <w:szCs w:val="16"/>
                <w:lang/>
              </w:rPr>
              <w:t>110</w:t>
            </w:r>
            <w:r>
              <w:rPr>
                <w:rFonts w:ascii="宋体" w:hAnsi="宋体" w:cs="宋体" w:hint="eastAsia"/>
                <w:color w:val="000000"/>
                <w:kern w:val="0"/>
                <w:sz w:val="16"/>
                <w:szCs w:val="16"/>
                <w:lang/>
              </w:rPr>
              <w:t>千伏及以上输变电工程，项目分布在青海省各市、州县；海拔高度在</w:t>
            </w:r>
            <w:r>
              <w:rPr>
                <w:rFonts w:ascii="宋体" w:hAnsi="宋体" w:cs="宋体" w:hint="eastAsia"/>
                <w:color w:val="000000"/>
                <w:kern w:val="0"/>
                <w:sz w:val="16"/>
                <w:szCs w:val="16"/>
                <w:lang/>
              </w:rPr>
              <w:t>2000</w:t>
            </w:r>
            <w:r>
              <w:rPr>
                <w:rFonts w:ascii="宋体" w:hAnsi="宋体" w:cs="宋体" w:hint="eastAsia"/>
                <w:color w:val="000000"/>
                <w:kern w:val="0"/>
                <w:sz w:val="16"/>
                <w:szCs w:val="16"/>
                <w:lang/>
              </w:rPr>
              <w:t>米以上。</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5</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中华人民共和国境内依法注册的企业法人或其它组织，具有编制输变电工程环境影响报告书及环保验收调查服务的能力。</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26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国网青海省电力公司输变电工程水保验收调查服务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国网青海省电力公司输变电工程水保验收调查服务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国网青海省电力公司建设部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青海电网</w:t>
            </w:r>
            <w:r>
              <w:rPr>
                <w:rFonts w:ascii="宋体" w:hAnsi="宋体" w:cs="宋体" w:hint="eastAsia"/>
                <w:color w:val="000000"/>
                <w:kern w:val="0"/>
                <w:sz w:val="16"/>
                <w:szCs w:val="16"/>
                <w:lang/>
              </w:rPr>
              <w:t>2020-2021</w:t>
            </w:r>
            <w:r>
              <w:rPr>
                <w:rFonts w:ascii="宋体" w:hAnsi="宋体" w:cs="宋体" w:hint="eastAsia"/>
                <w:color w:val="000000"/>
                <w:kern w:val="0"/>
                <w:sz w:val="16"/>
                <w:szCs w:val="16"/>
                <w:lang/>
              </w:rPr>
              <w:t>年度续建、新建和扩建</w:t>
            </w:r>
            <w:r>
              <w:rPr>
                <w:rFonts w:ascii="宋体" w:hAnsi="宋体" w:cs="宋体" w:hint="eastAsia"/>
                <w:color w:val="000000"/>
                <w:kern w:val="0"/>
                <w:sz w:val="16"/>
                <w:szCs w:val="16"/>
                <w:lang/>
              </w:rPr>
              <w:t>35</w:t>
            </w:r>
            <w:r>
              <w:rPr>
                <w:rFonts w:ascii="宋体" w:hAnsi="宋体" w:cs="宋体" w:hint="eastAsia"/>
                <w:color w:val="000000"/>
                <w:kern w:val="0"/>
                <w:sz w:val="16"/>
                <w:szCs w:val="16"/>
                <w:lang/>
              </w:rPr>
              <w:t>千伏及以上输变电工程，项目分布在青海省各市、州县；海拔高度在</w:t>
            </w:r>
            <w:r>
              <w:rPr>
                <w:rFonts w:ascii="宋体" w:hAnsi="宋体" w:cs="宋体" w:hint="eastAsia"/>
                <w:color w:val="000000"/>
                <w:kern w:val="0"/>
                <w:sz w:val="16"/>
                <w:szCs w:val="16"/>
                <w:lang/>
              </w:rPr>
              <w:t>2000</w:t>
            </w:r>
            <w:r>
              <w:rPr>
                <w:rFonts w:ascii="宋体" w:hAnsi="宋体" w:cs="宋体" w:hint="eastAsia"/>
                <w:color w:val="000000"/>
                <w:kern w:val="0"/>
                <w:sz w:val="16"/>
                <w:szCs w:val="16"/>
                <w:lang/>
              </w:rPr>
              <w:t>米以上。</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5</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中华人民共和国境内注册的独立企业法人，具有中国水土保持协会颁发的生产建设项目水土保持方案编制单位水平评价证书为</w:t>
            </w:r>
            <w:r>
              <w:rPr>
                <w:rFonts w:ascii="宋体" w:hAnsi="宋体" w:cs="宋体" w:hint="eastAsia"/>
                <w:color w:val="000000"/>
                <w:kern w:val="0"/>
                <w:sz w:val="16"/>
                <w:szCs w:val="16"/>
                <w:lang/>
              </w:rPr>
              <w:t>3</w:t>
            </w:r>
            <w:r>
              <w:rPr>
                <w:rFonts w:ascii="宋体" w:hAnsi="宋体" w:cs="宋体" w:hint="eastAsia"/>
                <w:color w:val="000000"/>
                <w:kern w:val="0"/>
                <w:sz w:val="16"/>
                <w:szCs w:val="16"/>
                <w:lang/>
              </w:rPr>
              <w:t>星级及以上星级企业资质。</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26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3</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年度及以前年度</w:t>
            </w:r>
            <w:r>
              <w:rPr>
                <w:rFonts w:ascii="宋体" w:hAnsi="宋体" w:cs="宋体" w:hint="eastAsia"/>
                <w:color w:val="000000"/>
                <w:kern w:val="0"/>
                <w:sz w:val="16"/>
                <w:szCs w:val="16"/>
                <w:lang/>
              </w:rPr>
              <w:t xml:space="preserve">  </w:t>
            </w:r>
            <w:r>
              <w:rPr>
                <w:rFonts w:ascii="宋体" w:hAnsi="宋体" w:cs="宋体" w:hint="eastAsia"/>
                <w:color w:val="000000"/>
                <w:kern w:val="0"/>
                <w:sz w:val="16"/>
                <w:szCs w:val="16"/>
                <w:lang/>
              </w:rPr>
              <w:t>投产的电网基电、生产技改项目后评价服务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年度及以前年度</w:t>
            </w:r>
            <w:r>
              <w:rPr>
                <w:rFonts w:ascii="宋体" w:hAnsi="宋体" w:cs="宋体" w:hint="eastAsia"/>
                <w:color w:val="000000"/>
                <w:kern w:val="0"/>
                <w:sz w:val="16"/>
                <w:szCs w:val="16"/>
                <w:lang/>
              </w:rPr>
              <w:t xml:space="preserve">  </w:t>
            </w:r>
            <w:r>
              <w:rPr>
                <w:rFonts w:ascii="宋体" w:hAnsi="宋体" w:cs="宋体" w:hint="eastAsia"/>
                <w:color w:val="000000"/>
                <w:kern w:val="0"/>
                <w:sz w:val="16"/>
                <w:szCs w:val="16"/>
                <w:lang/>
              </w:rPr>
              <w:t>投产的电网基电、生产技改项目后评价服务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国网青海省电力公司发展部、设备部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年度及以前年度投产的电网基建、生产技改项目后评价。</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4</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中华人民共和国境内依法注册的企业法人或其它组织，具备电网基建、生产技改项目评价的能力。</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68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4</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4</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年输配电线路三跨隐患治理涉路项目质量与安全评估技术服务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年输配电线路三跨隐患治理涉路项目质量与安全评估技术服务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国网青海省电力公司设备部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国网青海省电力公司所属各单位管辖</w:t>
            </w:r>
            <w:r>
              <w:rPr>
                <w:rFonts w:ascii="宋体" w:hAnsi="宋体" w:cs="宋体" w:hint="eastAsia"/>
                <w:color w:val="000000"/>
                <w:kern w:val="0"/>
                <w:sz w:val="16"/>
                <w:szCs w:val="16"/>
                <w:lang/>
              </w:rPr>
              <w:t>10kV</w:t>
            </w:r>
            <w:r>
              <w:rPr>
                <w:rFonts w:ascii="宋体" w:hAnsi="宋体" w:cs="宋体" w:hint="eastAsia"/>
                <w:color w:val="000000"/>
                <w:kern w:val="0"/>
                <w:sz w:val="16"/>
                <w:szCs w:val="16"/>
                <w:lang/>
              </w:rPr>
              <w:t>及以上输配电线路涉路项目工程：对公路质量和安全存在的风险进行风险源识别，风险源确定，风险分析及论证，查找输配电线路涉路项目对公路质量和安全存在的不利影响和安全风险，并提出改进的措施、建议及方案。</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中华人民共和国境内依法注册的企业法人或其它组织，在全国投资项目在线审批监管平台备案，具有公路评估咨询技术服务能力。</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26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5</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5</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国网青海省电力公司省公司及基层单位生产技改大修及农配网项目造价咨询服务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国网青海省电力公司省公司及基层单位生产技改大修及农配网项目造价咨询服务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国网青海省电力公司设备部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2020-2021</w:t>
            </w:r>
            <w:r>
              <w:rPr>
                <w:rFonts w:ascii="宋体" w:hAnsi="宋体" w:cs="宋体" w:hint="eastAsia"/>
                <w:color w:val="000000"/>
                <w:kern w:val="0"/>
                <w:sz w:val="16"/>
                <w:szCs w:val="16"/>
                <w:lang/>
              </w:rPr>
              <w:t>年度国网青海省电力公司及基层单位生产技改大修及农配网项目全过程造价咨询服务工作</w:t>
            </w:r>
            <w:r>
              <w:rPr>
                <w:rFonts w:ascii="宋体" w:hAnsi="宋体" w:cs="宋体" w:hint="eastAsia"/>
                <w:color w:val="000000"/>
                <w:kern w:val="0"/>
                <w:sz w:val="16"/>
                <w:szCs w:val="16"/>
                <w:lang/>
              </w:rPr>
              <w:t>,</w:t>
            </w:r>
            <w:r>
              <w:rPr>
                <w:rFonts w:ascii="宋体" w:hAnsi="宋体" w:cs="宋体" w:hint="eastAsia"/>
                <w:color w:val="000000"/>
                <w:kern w:val="0"/>
                <w:sz w:val="16"/>
                <w:szCs w:val="16"/>
                <w:lang/>
              </w:rPr>
              <w:t>内容包括</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在可研评审、初设评审、招标限价编审等各个阶段提供造价咨询及造价分析技术支撑服务。</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5</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具有中华人民共和国住房和城乡建设部颁发的工程造价咨询乙级及以上资质。</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26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lastRenderedPageBreak/>
              <w:t>6</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002</w:t>
            </w:r>
            <w:r>
              <w:rPr>
                <w:rFonts w:ascii="宋体" w:hAnsi="宋体" w:cs="宋体" w:hint="eastAsia"/>
                <w:color w:val="000000"/>
                <w:kern w:val="0"/>
                <w:sz w:val="16"/>
                <w:szCs w:val="16"/>
                <w:lang/>
              </w:rPr>
              <w:t>服务（结算审核）</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年下半年</w:t>
            </w:r>
            <w:r>
              <w:rPr>
                <w:rFonts w:ascii="宋体" w:hAnsi="宋体" w:cs="宋体" w:hint="eastAsia"/>
                <w:color w:val="000000"/>
                <w:kern w:val="0"/>
                <w:sz w:val="16"/>
                <w:szCs w:val="16"/>
                <w:lang/>
              </w:rPr>
              <w:t>35-110</w:t>
            </w:r>
            <w:r>
              <w:rPr>
                <w:rFonts w:ascii="宋体" w:hAnsi="宋体" w:cs="宋体" w:hint="eastAsia"/>
                <w:color w:val="000000"/>
                <w:kern w:val="0"/>
                <w:sz w:val="16"/>
                <w:szCs w:val="16"/>
                <w:lang/>
              </w:rPr>
              <w:t>千伏输变电工程施工过程造价咨询及竣工结算审核服务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年下半年</w:t>
            </w:r>
            <w:r>
              <w:rPr>
                <w:rFonts w:ascii="宋体" w:hAnsi="宋体" w:cs="宋体" w:hint="eastAsia"/>
                <w:color w:val="000000"/>
                <w:kern w:val="0"/>
                <w:sz w:val="16"/>
                <w:szCs w:val="16"/>
                <w:lang/>
              </w:rPr>
              <w:t>35-110</w:t>
            </w:r>
            <w:r>
              <w:rPr>
                <w:rFonts w:ascii="宋体" w:hAnsi="宋体" w:cs="宋体" w:hint="eastAsia"/>
                <w:color w:val="000000"/>
                <w:kern w:val="0"/>
                <w:sz w:val="16"/>
                <w:szCs w:val="16"/>
                <w:lang/>
              </w:rPr>
              <w:t>千伏输变电工程施工过程造价咨询及竣工结算审核服务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国网青海省电力公司所属建设管理单位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国网青海省电力公司建设部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12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31</w:t>
            </w:r>
            <w:r>
              <w:rPr>
                <w:rFonts w:ascii="宋体" w:hAnsi="宋体" w:cs="宋体" w:hint="eastAsia"/>
                <w:color w:val="000000"/>
                <w:kern w:val="0"/>
                <w:sz w:val="16"/>
                <w:szCs w:val="16"/>
                <w:lang/>
              </w:rPr>
              <w:t>日</w:t>
            </w:r>
            <w:r>
              <w:rPr>
                <w:rFonts w:ascii="宋体" w:hAnsi="宋体" w:cs="宋体" w:hint="eastAsia"/>
                <w:color w:val="000000"/>
                <w:kern w:val="0"/>
                <w:sz w:val="16"/>
                <w:szCs w:val="16"/>
                <w:lang/>
              </w:rPr>
              <w:t>新开工</w:t>
            </w:r>
            <w:r>
              <w:rPr>
                <w:rFonts w:ascii="宋体" w:hAnsi="宋体" w:cs="宋体" w:hint="eastAsia"/>
                <w:color w:val="000000"/>
                <w:kern w:val="0"/>
                <w:sz w:val="16"/>
                <w:szCs w:val="16"/>
                <w:lang/>
              </w:rPr>
              <w:t>的</w:t>
            </w:r>
            <w:r>
              <w:rPr>
                <w:rFonts w:ascii="宋体" w:hAnsi="宋体" w:cs="宋体" w:hint="eastAsia"/>
                <w:color w:val="000000"/>
                <w:kern w:val="0"/>
                <w:sz w:val="16"/>
                <w:szCs w:val="16"/>
                <w:lang/>
              </w:rPr>
              <w:t>35-110</w:t>
            </w:r>
            <w:r>
              <w:rPr>
                <w:rFonts w:ascii="宋体" w:hAnsi="宋体" w:cs="宋体" w:hint="eastAsia"/>
                <w:color w:val="000000"/>
                <w:kern w:val="0"/>
                <w:sz w:val="16"/>
                <w:szCs w:val="16"/>
                <w:lang/>
              </w:rPr>
              <w:t>千伏电网建设工程。</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12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31</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4</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中华人民共和国境内依法注册的企业法人或其它组织，具有中华人民共和国住房和城乡建设部颁发的工程造价咨询乙级资质。</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89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7</w:t>
            </w:r>
          </w:p>
        </w:tc>
        <w:tc>
          <w:tcPr>
            <w:tcW w:w="88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003</w:t>
            </w:r>
            <w:r>
              <w:rPr>
                <w:rFonts w:ascii="宋体" w:hAnsi="宋体" w:cs="宋体" w:hint="eastAsia"/>
                <w:color w:val="000000"/>
                <w:kern w:val="0"/>
                <w:sz w:val="16"/>
                <w:szCs w:val="16"/>
                <w:lang/>
              </w:rPr>
              <w:t>服务（设备维保）</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年电网运维服务</w:t>
            </w:r>
            <w:r>
              <w:rPr>
                <w:rFonts w:ascii="宋体" w:hAnsi="宋体" w:cs="宋体" w:hint="eastAsia"/>
                <w:color w:val="000000"/>
                <w:kern w:val="0"/>
                <w:sz w:val="16"/>
                <w:szCs w:val="16"/>
                <w:lang/>
              </w:rPr>
              <w:t>10kV</w:t>
            </w:r>
            <w:r>
              <w:rPr>
                <w:rFonts w:ascii="宋体" w:hAnsi="宋体" w:cs="宋体" w:hint="eastAsia"/>
                <w:color w:val="000000"/>
                <w:kern w:val="0"/>
                <w:sz w:val="16"/>
                <w:szCs w:val="16"/>
                <w:lang/>
              </w:rPr>
              <w:t>、</w:t>
            </w:r>
            <w:r>
              <w:rPr>
                <w:rFonts w:ascii="宋体" w:hAnsi="宋体" w:cs="宋体" w:hint="eastAsia"/>
                <w:color w:val="000000"/>
                <w:kern w:val="0"/>
                <w:sz w:val="16"/>
                <w:szCs w:val="16"/>
                <w:lang/>
              </w:rPr>
              <w:t>0.4kV</w:t>
            </w:r>
            <w:r>
              <w:rPr>
                <w:rFonts w:ascii="宋体" w:hAnsi="宋体" w:cs="宋体" w:hint="eastAsia"/>
                <w:color w:val="000000"/>
                <w:kern w:val="0"/>
                <w:sz w:val="16"/>
                <w:szCs w:val="16"/>
                <w:lang/>
              </w:rPr>
              <w:t>配网不停电作业服务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年电网运维服务</w:t>
            </w:r>
            <w:r>
              <w:rPr>
                <w:rFonts w:ascii="宋体" w:hAnsi="宋体" w:cs="宋体" w:hint="eastAsia"/>
                <w:color w:val="000000"/>
                <w:kern w:val="0"/>
                <w:sz w:val="16"/>
                <w:szCs w:val="16"/>
                <w:lang/>
              </w:rPr>
              <w:t>10kV</w:t>
            </w:r>
            <w:r>
              <w:rPr>
                <w:rFonts w:ascii="宋体" w:hAnsi="宋体" w:cs="宋体" w:hint="eastAsia"/>
                <w:color w:val="000000"/>
                <w:kern w:val="0"/>
                <w:sz w:val="16"/>
                <w:szCs w:val="16"/>
                <w:lang/>
              </w:rPr>
              <w:t>、</w:t>
            </w:r>
            <w:r>
              <w:rPr>
                <w:rFonts w:ascii="宋体" w:hAnsi="宋体" w:cs="宋体" w:hint="eastAsia"/>
                <w:color w:val="000000"/>
                <w:kern w:val="0"/>
                <w:sz w:val="16"/>
                <w:szCs w:val="16"/>
                <w:lang/>
              </w:rPr>
              <w:t>0.4kV</w:t>
            </w:r>
            <w:r>
              <w:rPr>
                <w:rFonts w:ascii="宋体" w:hAnsi="宋体" w:cs="宋体" w:hint="eastAsia"/>
                <w:color w:val="000000"/>
                <w:kern w:val="0"/>
                <w:sz w:val="16"/>
                <w:szCs w:val="16"/>
                <w:lang/>
              </w:rPr>
              <w:t>配网不停电作业服务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国网青海省电力公司设备部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对辖区内的配网检修、技改、大修、缺陷（隐患）工程、业扩及基建等项目通过带电作业方式实施的业务。</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8</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中华人民共和国住房和城乡建设部颁发的输变电工程专业承包三级及以上企业资质；具有电力监管机构核发的《承装（修、试）电力设施许可证》，许可范围包含五级及以上承装、承修。</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315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8</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2020-2021</w:t>
            </w:r>
            <w:r>
              <w:rPr>
                <w:rFonts w:ascii="宋体" w:hAnsi="宋体" w:cs="宋体" w:hint="eastAsia"/>
                <w:color w:val="000000"/>
                <w:kern w:val="0"/>
                <w:sz w:val="16"/>
                <w:szCs w:val="16"/>
                <w:lang/>
              </w:rPr>
              <w:t>年输配变电网无人机智能服务与技术支撑服务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2020-2021</w:t>
            </w:r>
            <w:r>
              <w:rPr>
                <w:rFonts w:ascii="宋体" w:hAnsi="宋体" w:cs="宋体" w:hint="eastAsia"/>
                <w:color w:val="000000"/>
                <w:kern w:val="0"/>
                <w:sz w:val="16"/>
                <w:szCs w:val="16"/>
                <w:lang/>
              </w:rPr>
              <w:t>年输配变电网无人机智能服务与技术支撑服务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国网青海省电力公司设备部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使用无人机对输、配电线路及变电站设备进行智能化服务，提供技术数据及运行信息，其中包括：无人机巡检、设备缺陷排查、防窃电排查、房线排查、数据采集（杆塔空间坐标、档距、地面高程信息、交叉跨越物、最低弧垂点、变电站设备测温与电气距离等数据要素）、航测、温差检测、树障距离检测、导线风偏检测、覆冰检测、</w:t>
            </w:r>
            <w:r>
              <w:rPr>
                <w:rFonts w:ascii="宋体" w:hAnsi="宋体" w:cs="宋体" w:hint="eastAsia"/>
                <w:color w:val="000000"/>
                <w:kern w:val="0"/>
                <w:sz w:val="16"/>
                <w:szCs w:val="16"/>
                <w:lang/>
              </w:rPr>
              <w:t>X</w:t>
            </w:r>
            <w:r>
              <w:rPr>
                <w:rFonts w:ascii="宋体" w:hAnsi="宋体" w:cs="宋体" w:hint="eastAsia"/>
                <w:color w:val="000000"/>
                <w:kern w:val="0"/>
                <w:sz w:val="16"/>
                <w:szCs w:val="16"/>
                <w:lang/>
              </w:rPr>
              <w:t>光探伤、红外检测、紫外检测、线路及变电站设备激光扫描及三维建模分析、绝缘子零值检测、无人机自主巡检、线路通道巡检、变电站智能巡检等任务。</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12</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w:t>
            </w:r>
            <w:r>
              <w:rPr>
                <w:rFonts w:ascii="宋体" w:hAnsi="宋体" w:cs="宋体" w:hint="eastAsia"/>
                <w:color w:val="000000"/>
                <w:kern w:val="0"/>
                <w:sz w:val="16"/>
                <w:szCs w:val="16"/>
                <w:lang/>
              </w:rPr>
              <w:t>民共和国境内依法注册的企业法人或其它组织，具有无人机巡检、检测、智能化技术服务的能力；营业经营范围应包含无人机巡检服务或无人机技术服务等相关内容；从业人员持有民航局或</w:t>
            </w:r>
            <w:r>
              <w:rPr>
                <w:rFonts w:ascii="宋体" w:hAnsi="宋体" w:cs="宋体" w:hint="eastAsia"/>
                <w:color w:val="000000"/>
                <w:kern w:val="0"/>
                <w:sz w:val="16"/>
                <w:szCs w:val="16"/>
                <w:lang/>
              </w:rPr>
              <w:t>UTC</w:t>
            </w:r>
            <w:r>
              <w:rPr>
                <w:rFonts w:ascii="宋体" w:hAnsi="宋体" w:cs="宋体" w:hint="eastAsia"/>
                <w:color w:val="000000"/>
                <w:kern w:val="0"/>
                <w:sz w:val="16"/>
                <w:szCs w:val="16"/>
                <w:lang/>
              </w:rPr>
              <w:t>颁发有效期内的多旋翼驾驶员或超视距驾驶员资格证书；近两年曾在各战区取得过空域批复文件；作业使用的无人机产品需获得民用无人驾驶航空器经营许可证。</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84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9</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3</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年充电设备及辅助设施运行维护服务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年充电设备及辅助设施运行维护服务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国网青海省电力公司营销部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对国网青海省电力公司所属各供电公司投建的充电设施进行日常巡视、现场充电服务、运维检修、工单接派及办理等。</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6</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中华人民共和国境内依法注册的企业法人或其它组织，具有充电桩检测、维护及电动汽车充电服务能力。</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68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10</w:t>
            </w:r>
          </w:p>
        </w:tc>
        <w:tc>
          <w:tcPr>
            <w:tcW w:w="8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CC5871">
            <w:pPr>
              <w:widowControl/>
              <w:spacing w:line="260" w:lineRule="exact"/>
              <w:jc w:val="center"/>
              <w:rPr>
                <w:rFonts w:ascii="宋体" w:hAnsi="宋体" w:cs="宋体"/>
                <w:color w:val="000000"/>
                <w:sz w:val="16"/>
                <w:szCs w:val="16"/>
              </w:rPr>
            </w:pP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4</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国网青海省电力公司营业厅运行维护服务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国网青海省电力公司营业厅运行维护服务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国网青海省电力公司营销部</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该项目主要内容为对国网青海省电力公司下属</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家供电公司所辖营业厅门、窗、灯、内饰、门头、吊顶、墙面、柜台、办公家具、标牌、灯箱、时钟日历牌、电子屏、</w:t>
            </w:r>
            <w:r>
              <w:rPr>
                <w:rFonts w:ascii="宋体" w:hAnsi="宋体" w:cs="宋体" w:hint="eastAsia"/>
                <w:color w:val="000000"/>
                <w:kern w:val="0"/>
                <w:sz w:val="16"/>
                <w:szCs w:val="16"/>
                <w:lang/>
              </w:rPr>
              <w:t>led</w:t>
            </w:r>
            <w:r>
              <w:rPr>
                <w:rFonts w:ascii="宋体" w:hAnsi="宋体" w:cs="宋体" w:hint="eastAsia"/>
                <w:color w:val="000000"/>
                <w:kern w:val="0"/>
                <w:sz w:val="16"/>
                <w:szCs w:val="16"/>
                <w:lang/>
              </w:rPr>
              <w:t>屏、叫号机、电视、电暖气等环境设施、设备问题的故障及</w:t>
            </w:r>
            <w:r>
              <w:rPr>
                <w:rFonts w:ascii="宋体" w:hAnsi="宋体" w:cs="宋体" w:hint="eastAsia"/>
                <w:color w:val="000000"/>
                <w:kern w:val="0"/>
                <w:sz w:val="16"/>
                <w:szCs w:val="16"/>
                <w:lang/>
              </w:rPr>
              <w:lastRenderedPageBreak/>
              <w:t>时修复及营业厅整体保洁。</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lastRenderedPageBreak/>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6</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中华人民共和国境内依法注册的企业法人或其它组织，具备建筑装修装饰工程专业承包二级及以上资质。</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1470"/>
        </w:trPr>
        <w:tc>
          <w:tcPr>
            <w:tcW w:w="6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lastRenderedPageBreak/>
              <w:t>11</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004</w:t>
            </w:r>
            <w:r>
              <w:rPr>
                <w:rFonts w:ascii="宋体" w:hAnsi="宋体" w:cs="宋体" w:hint="eastAsia"/>
                <w:color w:val="000000"/>
                <w:kern w:val="0"/>
                <w:sz w:val="16"/>
                <w:szCs w:val="16"/>
                <w:lang/>
              </w:rPr>
              <w:t>服务（运维实施）</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国网青海省电力公司调度自动化系统等级保护测评和安全评估服务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国网青海省电力公司调度自动化系统等级保护测评和安全评估服务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国网青海省电力公司调度控制中心</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调度自动化系统等级保护测评和安全评估服务，包括对测评范围内系统进行信息安全等级保护测评、安全防护评估、电力监控系统安全防护技术服务、突发事件应急响应、入侵监测装置规则库更新升级等四部分。</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w:t>
            </w:r>
            <w:r>
              <w:rPr>
                <w:rFonts w:ascii="宋体" w:hAnsi="宋体" w:cs="宋体" w:hint="eastAsia"/>
                <w:color w:val="000000"/>
                <w:kern w:val="0"/>
                <w:sz w:val="16"/>
                <w:szCs w:val="16"/>
                <w:lang/>
              </w:rPr>
              <w:t>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12</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中华人民共和国境内依法注册的企业法人或其它组织，具有信息安全服务资质认证证书和专业技术人员</w:t>
            </w:r>
            <w:r>
              <w:rPr>
                <w:rFonts w:ascii="宋体" w:hAnsi="宋体" w:cs="宋体" w:hint="eastAsia"/>
                <w:color w:val="000000"/>
                <w:kern w:val="0"/>
                <w:sz w:val="16"/>
                <w:szCs w:val="16"/>
                <w:lang/>
              </w:rPr>
              <w:t>CISP</w:t>
            </w:r>
            <w:r>
              <w:rPr>
                <w:rFonts w:ascii="宋体" w:hAnsi="宋体" w:cs="宋体" w:hint="eastAsia"/>
                <w:color w:val="000000"/>
                <w:kern w:val="0"/>
                <w:sz w:val="16"/>
                <w:szCs w:val="16"/>
                <w:lang/>
              </w:rPr>
              <w:t>、</w:t>
            </w:r>
            <w:r>
              <w:rPr>
                <w:rFonts w:ascii="宋体" w:hAnsi="宋体" w:cs="宋体" w:hint="eastAsia"/>
                <w:color w:val="000000"/>
                <w:kern w:val="0"/>
                <w:sz w:val="16"/>
                <w:szCs w:val="16"/>
                <w:lang/>
              </w:rPr>
              <w:t>PMP</w:t>
            </w:r>
            <w:r>
              <w:rPr>
                <w:rFonts w:ascii="宋体" w:hAnsi="宋体" w:cs="宋体" w:hint="eastAsia"/>
                <w:color w:val="000000"/>
                <w:kern w:val="0"/>
                <w:sz w:val="16"/>
                <w:szCs w:val="16"/>
                <w:lang/>
              </w:rPr>
              <w:t>同类认证资质证书，并具备网络安全等级保护测评和安全评估的能力。</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r w:rsidR="00CC5871">
        <w:trPr>
          <w:trHeight w:val="2100"/>
        </w:trPr>
        <w:tc>
          <w:tcPr>
            <w:tcW w:w="63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12</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005</w:t>
            </w:r>
            <w:r>
              <w:rPr>
                <w:rFonts w:ascii="宋体" w:hAnsi="宋体" w:cs="宋体" w:hint="eastAsia"/>
                <w:color w:val="000000"/>
                <w:kern w:val="0"/>
                <w:sz w:val="16"/>
                <w:szCs w:val="16"/>
                <w:lang/>
              </w:rPr>
              <w:t>服务（职工疗养）</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13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年职工疗养服务商补充采购服务</w:t>
            </w:r>
          </w:p>
        </w:tc>
        <w:tc>
          <w:tcPr>
            <w:tcW w:w="13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年职工疗养服务商补充采购服务</w:t>
            </w:r>
          </w:p>
        </w:tc>
        <w:tc>
          <w:tcPr>
            <w:tcW w:w="10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国网青海省电力公司及基层各单位</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国网青海省电力公司工会</w:t>
            </w:r>
          </w:p>
        </w:tc>
        <w:tc>
          <w:tcPr>
            <w:tcW w:w="26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r>
              <w:rPr>
                <w:rFonts w:ascii="宋体" w:hAnsi="宋体" w:cs="宋体" w:hint="eastAsia"/>
                <w:color w:val="000000"/>
                <w:kern w:val="0"/>
                <w:sz w:val="16"/>
                <w:szCs w:val="16"/>
                <w:lang/>
              </w:rPr>
              <w:t>公司职工疗养形式为分批次驻点集中疗养，每批疗养时间为</w:t>
            </w:r>
            <w:r>
              <w:rPr>
                <w:rFonts w:ascii="宋体" w:hAnsi="宋体" w:cs="宋体" w:hint="eastAsia"/>
                <w:color w:val="000000"/>
                <w:kern w:val="0"/>
                <w:sz w:val="16"/>
                <w:szCs w:val="16"/>
                <w:lang/>
              </w:rPr>
              <w:t>5-10</w:t>
            </w:r>
            <w:r>
              <w:rPr>
                <w:rFonts w:ascii="宋体" w:hAnsi="宋体" w:cs="宋体" w:hint="eastAsia"/>
                <w:color w:val="000000"/>
                <w:kern w:val="0"/>
                <w:sz w:val="16"/>
                <w:szCs w:val="16"/>
                <w:lang/>
              </w:rPr>
              <w:t>天（含双休日、法定节假日）</w:t>
            </w:r>
            <w:r>
              <w:rPr>
                <w:rFonts w:ascii="宋体" w:hAnsi="宋体" w:cs="宋体" w:hint="eastAsia"/>
                <w:color w:val="000000"/>
                <w:kern w:val="0"/>
                <w:sz w:val="16"/>
                <w:szCs w:val="16"/>
                <w:lang/>
              </w:rPr>
              <w:br/>
            </w:r>
            <w:r>
              <w:rPr>
                <w:rFonts w:ascii="宋体" w:hAnsi="宋体" w:cs="宋体" w:hint="eastAsia"/>
                <w:color w:val="000000"/>
                <w:kern w:val="0"/>
                <w:sz w:val="16"/>
                <w:szCs w:val="16"/>
                <w:lang/>
              </w:rPr>
              <w:t>2.</w:t>
            </w:r>
            <w:r>
              <w:rPr>
                <w:rFonts w:ascii="宋体" w:hAnsi="宋体" w:cs="宋体" w:hint="eastAsia"/>
                <w:color w:val="000000"/>
                <w:kern w:val="0"/>
                <w:sz w:val="16"/>
                <w:szCs w:val="16"/>
                <w:lang/>
              </w:rPr>
              <w:t>采购能够为公司职工疗休养正常进行提供全过程优质服务条件和内容的疗养服务机构，包括提供职工疗养的住宿服务、餐饮服务（含清真餐饮服务）、交通服务、身心健康检查与培训，健康讲座等的疗休养的服务商。</w:t>
            </w:r>
          </w:p>
        </w:tc>
        <w:tc>
          <w:tcPr>
            <w:tcW w:w="13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计划开始日期：</w:t>
            </w:r>
            <w:r>
              <w:rPr>
                <w:rFonts w:ascii="宋体" w:hAnsi="宋体" w:cs="宋体" w:hint="eastAsia"/>
                <w:color w:val="000000"/>
                <w:kern w:val="0"/>
                <w:sz w:val="16"/>
                <w:szCs w:val="16"/>
                <w:lang/>
              </w:rPr>
              <w:t>2020</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7</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1</w:t>
            </w:r>
            <w:r>
              <w:rPr>
                <w:rFonts w:ascii="宋体" w:hAnsi="宋体" w:cs="宋体" w:hint="eastAsia"/>
                <w:color w:val="000000"/>
                <w:kern w:val="0"/>
                <w:sz w:val="16"/>
                <w:szCs w:val="16"/>
                <w:lang/>
              </w:rPr>
              <w:t>日，结束日期：</w:t>
            </w:r>
            <w:r>
              <w:rPr>
                <w:rFonts w:ascii="宋体" w:hAnsi="宋体" w:cs="宋体" w:hint="eastAsia"/>
                <w:color w:val="000000"/>
                <w:kern w:val="0"/>
                <w:sz w:val="16"/>
                <w:szCs w:val="16"/>
                <w:lang/>
              </w:rPr>
              <w:t>2021</w:t>
            </w:r>
            <w:r>
              <w:rPr>
                <w:rFonts w:ascii="宋体" w:hAnsi="宋体" w:cs="宋体" w:hint="eastAsia"/>
                <w:color w:val="000000"/>
                <w:kern w:val="0"/>
                <w:sz w:val="16"/>
                <w:szCs w:val="16"/>
                <w:lang/>
              </w:rPr>
              <w:t>年</w:t>
            </w:r>
            <w:r>
              <w:rPr>
                <w:rFonts w:ascii="宋体" w:hAnsi="宋体" w:cs="宋体" w:hint="eastAsia"/>
                <w:color w:val="000000"/>
                <w:kern w:val="0"/>
                <w:sz w:val="16"/>
                <w:szCs w:val="16"/>
                <w:lang/>
              </w:rPr>
              <w:t>6</w:t>
            </w:r>
            <w:r>
              <w:rPr>
                <w:rFonts w:ascii="宋体" w:hAnsi="宋体" w:cs="宋体" w:hint="eastAsia"/>
                <w:color w:val="000000"/>
                <w:kern w:val="0"/>
                <w:sz w:val="16"/>
                <w:szCs w:val="16"/>
                <w:lang/>
              </w:rPr>
              <w:t>月</w:t>
            </w:r>
            <w:r>
              <w:rPr>
                <w:rFonts w:ascii="宋体" w:hAnsi="宋体" w:cs="宋体" w:hint="eastAsia"/>
                <w:color w:val="000000"/>
                <w:kern w:val="0"/>
                <w:sz w:val="16"/>
                <w:szCs w:val="16"/>
                <w:lang/>
              </w:rPr>
              <w:t>30</w:t>
            </w:r>
            <w:r>
              <w:rPr>
                <w:rFonts w:ascii="宋体" w:hAnsi="宋体" w:cs="宋体" w:hint="eastAsia"/>
                <w:color w:val="000000"/>
                <w:kern w:val="0"/>
                <w:sz w:val="16"/>
                <w:szCs w:val="16"/>
                <w:lang/>
              </w:rPr>
              <w:t>日</w:t>
            </w:r>
          </w:p>
        </w:tc>
        <w:tc>
          <w:tcPr>
            <w:tcW w:w="10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231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中华人民共和国境内依法注册的企业法人或其它组织，营业执照经营范围包含职工疗养服务。（公司不接受具有职工疗养服务的旅行社、酒店参与竞谈）。</w:t>
            </w:r>
          </w:p>
        </w:tc>
        <w:tc>
          <w:tcPr>
            <w:tcW w:w="11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C5871" w:rsidRDefault="00107940">
            <w:pPr>
              <w:widowControl/>
              <w:spacing w:line="260" w:lineRule="exact"/>
              <w:jc w:val="center"/>
              <w:textAlignment w:val="center"/>
              <w:rPr>
                <w:rFonts w:ascii="宋体" w:hAnsi="宋体" w:cs="宋体"/>
                <w:color w:val="000000"/>
                <w:sz w:val="16"/>
                <w:szCs w:val="16"/>
              </w:rPr>
            </w:pPr>
            <w:r>
              <w:rPr>
                <w:rFonts w:ascii="宋体" w:hAnsi="宋体" w:cs="宋体" w:hint="eastAsia"/>
                <w:color w:val="000000"/>
                <w:kern w:val="0"/>
                <w:sz w:val="16"/>
                <w:szCs w:val="16"/>
                <w:lang/>
              </w:rPr>
              <w:t>谈判采购文件免费获取。</w:t>
            </w:r>
          </w:p>
        </w:tc>
      </w:tr>
    </w:tbl>
    <w:p w:rsidR="00CC5871" w:rsidRDefault="00CC5871">
      <w:pPr>
        <w:spacing w:line="400" w:lineRule="exact"/>
        <w:ind w:firstLine="435"/>
        <w:rPr>
          <w:rFonts w:ascii="仿宋" w:eastAsia="仿宋" w:hAnsi="仿宋" w:cs="Calibri"/>
          <w:kern w:val="0"/>
          <w:sz w:val="24"/>
          <w:szCs w:val="24"/>
        </w:rPr>
      </w:pPr>
    </w:p>
    <w:p w:rsidR="00CC5871" w:rsidRDefault="00CC5871">
      <w:pPr>
        <w:spacing w:line="400" w:lineRule="exact"/>
        <w:jc w:val="left"/>
        <w:rPr>
          <w:rFonts w:ascii="宋体" w:hAnsi="宋体" w:cs="宋体"/>
          <w:b/>
        </w:rPr>
        <w:sectPr w:rsidR="00CC5871">
          <w:pgSz w:w="16838" w:h="11906" w:orient="landscape"/>
          <w:pgMar w:top="757" w:right="1440" w:bottom="1269" w:left="1040" w:header="851" w:footer="992" w:gutter="0"/>
          <w:cols w:space="720"/>
          <w:docGrid w:type="lines" w:linePitch="312"/>
        </w:sectPr>
      </w:pPr>
    </w:p>
    <w:p w:rsidR="00CC5871" w:rsidRDefault="00CC5871">
      <w:pPr>
        <w:jc w:val="left"/>
        <w:rPr>
          <w:rFonts w:ascii="宋体" w:hAnsi="宋体" w:cs="宋体"/>
          <w:b/>
        </w:rPr>
      </w:pPr>
    </w:p>
    <w:p w:rsidR="00CC5871" w:rsidRDefault="00CC5871">
      <w:pPr>
        <w:jc w:val="left"/>
        <w:rPr>
          <w:rFonts w:ascii="宋体" w:hAnsi="宋体" w:cs="宋体"/>
          <w:sz w:val="24"/>
          <w:szCs w:val="24"/>
        </w:rPr>
      </w:pPr>
    </w:p>
    <w:sectPr w:rsidR="00CC5871" w:rsidSect="00CC5871">
      <w:pgSz w:w="11906" w:h="16838"/>
      <w:pgMar w:top="1440" w:right="1797" w:bottom="1440" w:left="1797"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doNotShadeFormData/>
  <w:noPunctuationKerning/>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172A27"/>
    <w:rsid w:val="00107940"/>
    <w:rsid w:val="00172A27"/>
    <w:rsid w:val="00710BE0"/>
    <w:rsid w:val="00CC5871"/>
    <w:rsid w:val="01280F08"/>
    <w:rsid w:val="013A3184"/>
    <w:rsid w:val="01B00BDD"/>
    <w:rsid w:val="025A7208"/>
    <w:rsid w:val="04791272"/>
    <w:rsid w:val="04C028AB"/>
    <w:rsid w:val="04E51C28"/>
    <w:rsid w:val="07194728"/>
    <w:rsid w:val="0C4A60CF"/>
    <w:rsid w:val="0CE66A45"/>
    <w:rsid w:val="0CF1742B"/>
    <w:rsid w:val="0F2C326B"/>
    <w:rsid w:val="11F12557"/>
    <w:rsid w:val="122E657C"/>
    <w:rsid w:val="12B45352"/>
    <w:rsid w:val="12C52A08"/>
    <w:rsid w:val="14910348"/>
    <w:rsid w:val="17923B13"/>
    <w:rsid w:val="184027E0"/>
    <w:rsid w:val="18C8442C"/>
    <w:rsid w:val="192B5742"/>
    <w:rsid w:val="1CA4281F"/>
    <w:rsid w:val="21DA4B6E"/>
    <w:rsid w:val="22BD348A"/>
    <w:rsid w:val="24B101B4"/>
    <w:rsid w:val="25966C38"/>
    <w:rsid w:val="29DB3648"/>
    <w:rsid w:val="2B70124F"/>
    <w:rsid w:val="2B735A22"/>
    <w:rsid w:val="2DC821E2"/>
    <w:rsid w:val="2E06171C"/>
    <w:rsid w:val="302435E5"/>
    <w:rsid w:val="30247919"/>
    <w:rsid w:val="346061B3"/>
    <w:rsid w:val="34F223C7"/>
    <w:rsid w:val="357B3B5F"/>
    <w:rsid w:val="361D5EBB"/>
    <w:rsid w:val="37570D44"/>
    <w:rsid w:val="379D5456"/>
    <w:rsid w:val="38265ADA"/>
    <w:rsid w:val="391A370B"/>
    <w:rsid w:val="395B610E"/>
    <w:rsid w:val="3AB65517"/>
    <w:rsid w:val="3BF426B1"/>
    <w:rsid w:val="3E175780"/>
    <w:rsid w:val="3E3B1ECF"/>
    <w:rsid w:val="3EBB4C11"/>
    <w:rsid w:val="3F3C5A0C"/>
    <w:rsid w:val="421C2F76"/>
    <w:rsid w:val="42535953"/>
    <w:rsid w:val="429C5FBB"/>
    <w:rsid w:val="43922ED9"/>
    <w:rsid w:val="44A40097"/>
    <w:rsid w:val="4901603E"/>
    <w:rsid w:val="497C5E6B"/>
    <w:rsid w:val="4A8956F4"/>
    <w:rsid w:val="4C5B5E6A"/>
    <w:rsid w:val="50C97268"/>
    <w:rsid w:val="52372A5E"/>
    <w:rsid w:val="52DD237F"/>
    <w:rsid w:val="52F515D7"/>
    <w:rsid w:val="55D571B3"/>
    <w:rsid w:val="57356FE2"/>
    <w:rsid w:val="57DB14B1"/>
    <w:rsid w:val="58BB4813"/>
    <w:rsid w:val="5AC2611A"/>
    <w:rsid w:val="5C1C791C"/>
    <w:rsid w:val="5C475F3B"/>
    <w:rsid w:val="5DA23075"/>
    <w:rsid w:val="5DCB72FD"/>
    <w:rsid w:val="5E9E2B45"/>
    <w:rsid w:val="5F5568BA"/>
    <w:rsid w:val="5F5F0827"/>
    <w:rsid w:val="61E53936"/>
    <w:rsid w:val="62876E3A"/>
    <w:rsid w:val="62AA3556"/>
    <w:rsid w:val="636A2CFF"/>
    <w:rsid w:val="639662A3"/>
    <w:rsid w:val="64B61A02"/>
    <w:rsid w:val="67986286"/>
    <w:rsid w:val="6A7A481E"/>
    <w:rsid w:val="6D210E43"/>
    <w:rsid w:val="6D8E169A"/>
    <w:rsid w:val="6EAB37D9"/>
    <w:rsid w:val="6FDE6E17"/>
    <w:rsid w:val="71A34EB7"/>
    <w:rsid w:val="725854FE"/>
    <w:rsid w:val="729544FD"/>
    <w:rsid w:val="75A908E3"/>
    <w:rsid w:val="778C5151"/>
    <w:rsid w:val="78EE1608"/>
    <w:rsid w:val="7ACA0A88"/>
    <w:rsid w:val="7B9D7BA0"/>
    <w:rsid w:val="7BC936E7"/>
    <w:rsid w:val="7C183CB3"/>
    <w:rsid w:val="7E200107"/>
    <w:rsid w:val="7FDD4F9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Subtitle" w:qFormat="1"/>
    <w:lsdException w:name="Hyperlink" w:qFormat="1"/>
    <w:lsdException w:name="Followed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5871"/>
    <w:pPr>
      <w:widowControl w:val="0"/>
      <w:jc w:val="both"/>
    </w:pPr>
    <w:rPr>
      <w:kern w:val="2"/>
      <w:sz w:val="21"/>
    </w:rPr>
  </w:style>
  <w:style w:type="paragraph" w:styleId="1">
    <w:name w:val="heading 1"/>
    <w:basedOn w:val="a"/>
    <w:next w:val="a"/>
    <w:qFormat/>
    <w:rsid w:val="00CC5871"/>
    <w:pPr>
      <w:jc w:val="center"/>
      <w:outlineLvl w:val="0"/>
    </w:pPr>
    <w:rPr>
      <w:b/>
      <w:kern w:val="44"/>
      <w:sz w:val="44"/>
    </w:rPr>
  </w:style>
  <w:style w:type="paragraph" w:styleId="2">
    <w:name w:val="heading 2"/>
    <w:basedOn w:val="a"/>
    <w:next w:val="a"/>
    <w:qFormat/>
    <w:rsid w:val="00CC5871"/>
    <w:pPr>
      <w:keepNext/>
      <w:keepLines/>
      <w:topLinePunct/>
      <w:adjustRightInd w:val="0"/>
      <w:snapToGrid w:val="0"/>
      <w:spacing w:beforeLines="80" w:afterLines="80"/>
      <w:outlineLvl w:val="1"/>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sid w:val="00CC5871"/>
    <w:rPr>
      <w:rFonts w:ascii="宋体"/>
      <w:sz w:val="18"/>
    </w:rPr>
  </w:style>
  <w:style w:type="paragraph" w:styleId="a4">
    <w:name w:val="footer"/>
    <w:basedOn w:val="a"/>
    <w:link w:val="Char0"/>
    <w:qFormat/>
    <w:rsid w:val="00CC5871"/>
    <w:pPr>
      <w:tabs>
        <w:tab w:val="center" w:pos="4153"/>
        <w:tab w:val="right" w:pos="8306"/>
      </w:tabs>
      <w:snapToGrid w:val="0"/>
      <w:jc w:val="left"/>
    </w:pPr>
    <w:rPr>
      <w:sz w:val="18"/>
    </w:rPr>
  </w:style>
  <w:style w:type="paragraph" w:styleId="a5">
    <w:name w:val="header"/>
    <w:basedOn w:val="a"/>
    <w:qFormat/>
    <w:rsid w:val="00CC5871"/>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0"/>
    <w:qFormat/>
    <w:rsid w:val="00CC5871"/>
  </w:style>
  <w:style w:type="character" w:styleId="a7">
    <w:name w:val="FollowedHyperlink"/>
    <w:basedOn w:val="a0"/>
    <w:qFormat/>
    <w:rsid w:val="00CC5871"/>
    <w:rPr>
      <w:color w:val="666666"/>
      <w:sz w:val="18"/>
      <w:szCs w:val="18"/>
      <w:u w:val="none"/>
    </w:rPr>
  </w:style>
  <w:style w:type="character" w:styleId="a8">
    <w:name w:val="Hyperlink"/>
    <w:basedOn w:val="a0"/>
    <w:qFormat/>
    <w:rsid w:val="00CC5871"/>
    <w:rPr>
      <w:bdr w:val="single" w:sz="2" w:space="0" w:color="FFFFFF"/>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CC5871"/>
    <w:pPr>
      <w:widowControl w:val="0"/>
      <w:jc w:val="both"/>
    </w:pPr>
    <w:rPr>
      <w:kern w:val="2"/>
      <w:sz w:val="21"/>
    </w:rPr>
  </w:style>
  <w:style w:type="character" w:customStyle="1" w:styleId="Char0">
    <w:name w:val="页脚 Char"/>
    <w:basedOn w:val="a0"/>
    <w:link w:val="a4"/>
    <w:qFormat/>
    <w:rsid w:val="00CC5871"/>
    <w:rPr>
      <w:kern w:val="2"/>
      <w:sz w:val="18"/>
    </w:rPr>
  </w:style>
  <w:style w:type="character" w:customStyle="1" w:styleId="clslabel">
    <w:name w:val="clslabel"/>
    <w:basedOn w:val="a0"/>
    <w:qFormat/>
    <w:rsid w:val="00CC5871"/>
    <w:rPr>
      <w:color w:val="0000FF"/>
      <w:sz w:val="18"/>
      <w:szCs w:val="18"/>
      <w:u w:val="none"/>
    </w:rPr>
  </w:style>
  <w:style w:type="character" w:customStyle="1" w:styleId="clsmouseover">
    <w:name w:val="clsmouseover"/>
    <w:basedOn w:val="a0"/>
    <w:qFormat/>
    <w:rsid w:val="00CC5871"/>
    <w:rPr>
      <w:bdr w:val="single" w:sz="2" w:space="0" w:color="FFFFFF"/>
    </w:rPr>
  </w:style>
  <w:style w:type="character" w:customStyle="1" w:styleId="clscurrentnofocus">
    <w:name w:val="clscurrentnofocus"/>
    <w:basedOn w:val="a0"/>
    <w:qFormat/>
    <w:rsid w:val="00CC5871"/>
    <w:rPr>
      <w:bdr w:val="single" w:sz="2" w:space="0" w:color="0099CC"/>
      <w:shd w:val="clear" w:color="auto" w:fill="F2F8FF"/>
    </w:rPr>
  </w:style>
  <w:style w:type="character" w:customStyle="1" w:styleId="Char">
    <w:name w:val="文档结构图 Char"/>
    <w:basedOn w:val="a0"/>
    <w:link w:val="a3"/>
    <w:qFormat/>
    <w:rsid w:val="00CC5871"/>
    <w:rPr>
      <w:rFonts w:ascii="宋体"/>
      <w:kern w:val="2"/>
      <w:sz w:val="18"/>
    </w:rPr>
  </w:style>
  <w:style w:type="character" w:customStyle="1" w:styleId="clscurrentfocus">
    <w:name w:val="clscurrentfocus"/>
    <w:basedOn w:val="a0"/>
    <w:qFormat/>
    <w:rsid w:val="00CC5871"/>
    <w:rPr>
      <w:bdr w:val="single" w:sz="2" w:space="0" w:color="FFFFFF"/>
    </w:rPr>
  </w:style>
  <w:style w:type="character" w:customStyle="1" w:styleId="clsmousedown">
    <w:name w:val="clsmousedown"/>
    <w:basedOn w:val="a0"/>
    <w:qFormat/>
    <w:rsid w:val="00CC5871"/>
    <w:rPr>
      <w:bdr w:val="single" w:sz="2" w:space="0" w:color="FFFFFF"/>
    </w:rPr>
  </w:style>
  <w:style w:type="character" w:customStyle="1" w:styleId="leftspan">
    <w:name w:val="leftspan"/>
    <w:basedOn w:val="a0"/>
    <w:qFormat/>
    <w:rsid w:val="00CC5871"/>
    <w:rPr>
      <w:color w:val="00000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590</Words>
  <Characters>3363</Characters>
  <Application>Microsoft Office Word</Application>
  <DocSecurity>0</DocSecurity>
  <Lines>28</Lines>
  <Paragraphs>7</Paragraphs>
  <ScaleCrop>false</ScaleCrop>
  <Company/>
  <LinksUpToDate>false</LinksUpToDate>
  <CharactersWithSpaces>3946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招标公告</dc:title>
  <dc:creator>lenovo</dc:creator>
  <cp:lastModifiedBy>xbany</cp:lastModifiedBy>
  <cp:revision>2</cp:revision>
  <cp:lastPrinted>2018-10-19T08:43:00Z</cp:lastPrinted>
  <dcterms:created xsi:type="dcterms:W3CDTF">2020-06-12T09:33:00Z</dcterms:created>
  <dcterms:modified xsi:type="dcterms:W3CDTF">2020-06-12T09:33:00Z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