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659"/>
        <w:gridCol w:w="1940"/>
        <w:gridCol w:w="739"/>
        <w:gridCol w:w="2480"/>
        <w:gridCol w:w="1259"/>
        <w:gridCol w:w="1443"/>
      </w:tblGrid>
      <w:tr w:rsidR="005A0DC8" w:rsidRPr="0076211D" w:rsidTr="001146FF">
        <w:trPr>
          <w:trHeight w:val="615"/>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序号</w:t>
            </w:r>
          </w:p>
        </w:tc>
        <w:tc>
          <w:tcPr>
            <w:tcW w:w="194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标号</w:t>
            </w:r>
          </w:p>
        </w:tc>
        <w:tc>
          <w:tcPr>
            <w:tcW w:w="739" w:type="dxa"/>
            <w:shd w:val="clear" w:color="auto" w:fill="auto"/>
            <w:vAlign w:val="center"/>
          </w:tcPr>
          <w:p w:rsidR="005A0DC8" w:rsidRPr="0076211D" w:rsidRDefault="005A0DC8" w:rsidP="001146FF">
            <w:pPr>
              <w:widowControl/>
              <w:jc w:val="center"/>
              <w:textAlignment w:val="center"/>
              <w:rPr>
                <w:rFonts w:ascii="宋体" w:hAnsi="宋体" w:cs="Arial"/>
                <w:color w:val="000000"/>
                <w:sz w:val="24"/>
                <w:szCs w:val="24"/>
              </w:rPr>
            </w:pPr>
            <w:r w:rsidRPr="0076211D">
              <w:rPr>
                <w:rFonts w:ascii="宋体" w:hAnsi="宋体" w:cs="Arial"/>
                <w:color w:val="000000"/>
                <w:kern w:val="0"/>
                <w:sz w:val="24"/>
                <w:szCs w:val="24"/>
                <w:lang/>
              </w:rPr>
              <w:t>包号</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包名称</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中标单位</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中标金额（万元）</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001-可研设计一体化</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青海海东仁和110千伏输变电新建工程可研设计一体化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青海天慧电力设计咨询有限责任公司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青海海东清一35千伏变电站10千伏配套送出等2项工程可研设计一体化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青海天慧电力设计咨询有限责任公司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青海西宁麻岭330千伏变电站110千伏配出工程可研设计一体化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西宁方盛电力设计有限公司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青海西宁大堡子110kV变电站增容扩建工程可研设计一体化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中国电建集团青海省电力设计院有限公司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青海西宁35kV堡山线线路改造工程可研设计一体化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格尔木海电实业有限责任公司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青海西宁青林35kV变电站增容扩建工程可研设计一体化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西宁方盛电力设计有限公司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包7</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青海西宁李家山35kV变电站增容扩建工程可研设计一体化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西宁方盛电力设计有限公司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包8</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青海西宁岗冲35kV变电站增容扩建工程可研设计一体化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西宁方盛电力设计有限公司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001-可研设计一体化</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包9</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青海海西柯柯35千伏变电站主变增容改造等3项工程可研设计一体化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青海晟铭电力设计咨询有限公司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包10</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青海海西县圃110千伏输变电新建等3项工程可研设计一体化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青海天润电力设计院有限公司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包11</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青海西宁维物110kV变电站10kV配出等2项工程可研设计一体化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西宁方盛电力设计有限公司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包12</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大数据330千伏输变电工程可研设计一体化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中国电力工程顾问集团西南电力设</w:t>
            </w:r>
            <w:r w:rsidRPr="0076211D">
              <w:rPr>
                <w:rFonts w:ascii="宋体" w:hAnsi="宋体" w:cs="宋体" w:hint="eastAsia"/>
                <w:color w:val="000000"/>
                <w:kern w:val="0"/>
                <w:sz w:val="24"/>
                <w:szCs w:val="24"/>
                <w:lang/>
              </w:rPr>
              <w:lastRenderedPageBreak/>
              <w:t>计院有限公司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19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圣湖330千伏变电站主变扩建工程可研设计一体化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中国电建集团青海省电力设计院有限公司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20</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001-可研设计一体化</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包14</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青海海北芸苔110千伏变电站新建10千伏芸七路等3项工程可研设计一体化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青海海润电力设计咨询有限公司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青海黄南幸福山110千伏输变电工程可研设计一体化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青海天润电力设计院有限公司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包16</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青海黄南幸福山110千伏变电站35千伏同期配出等2项工程可研设计一体化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青海鸿景电力设计咨询有限公司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包17</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青海黄南察汗110千伏变电站35千伏同期配出等4项工程可研设计一体化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青海鸿景电力设计咨询有限公司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29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包18</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青海海东韵升110千伏变电站2#主变扩建工程可研设计一体化</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青海鸿景电力设计咨询有限公司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31</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001-可研设计一体化</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包19</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青海黄南柯生35千伏变电站10千伏同期配出等3项工程可研设计一体化</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青海鸿景电力设计咨询有限公司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34</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002-综合类设计</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青海信通公司光缆及光通信系统改造工程设计项目</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国核电力规划设计研究院有限公司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国网青海海北供电公司物资周转库设计项目</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青海建研建筑勘察设计有限公司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48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国网青海海北供电公司辅助用房设计项目</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青海建研建筑勘察设计有限公司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国网青海省电力公司居民一户一表改造方案等2个项目设计项目</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西宁方盛电力设计有限公司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39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国网青海黄化供电公司营销服务用房设计项目</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广州黄埔建筑设计院有</w:t>
            </w:r>
            <w:r w:rsidRPr="0076211D">
              <w:rPr>
                <w:rFonts w:ascii="宋体" w:hAnsi="宋体" w:cs="宋体" w:hint="eastAsia"/>
                <w:color w:val="000000"/>
                <w:kern w:val="0"/>
                <w:sz w:val="24"/>
                <w:szCs w:val="24"/>
                <w:lang/>
              </w:rPr>
              <w:lastRenderedPageBreak/>
              <w:t>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40</w:t>
            </w:r>
          </w:p>
        </w:tc>
        <w:tc>
          <w:tcPr>
            <w:tcW w:w="194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003-电网工程施工（基建110kV及以上）</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巴音330千伏主变扩建工程施工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青海万立建设有限公司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41</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003-电网工程施工（基建110kV及以上）</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鱼卡750kV变电站间隔扩建等2项工程施工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青海送变电工程有限公司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青海鱼卡~托素750千伏线路工程（鱼卡变～饮马峡收费站北侧）施工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青海送变电工程有限公司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青海鱼卡~托素750千伏线路工程（饮马峡收费站北侧～三十道班东侧）施工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中国安能集团第二工程局有限公司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120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青海鱼卡~托素750千伏线路工程（三十道班东侧～托素（德令哈）750kV变电站）施工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青海送变电工程有限公司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青海海东深沟110kV输变电新建等3项工程（变电土建）施工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海东天润实业有限责任公司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49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包7</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青海海南达玉110kV输变电新建工程工程施工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青海宏海电力科技有限公司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包8</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青海海南镜湖110kV变电站2号主变扩建工程施工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青海宏海电力科技有限公司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51</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004-电网工程施工（基建35kV及以下）</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青海果洛查郎至德昂35kV线路新建工程施工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青海宏海电力科技有限公司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48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青海海西俄博梁35kV输变电新建工程施工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青海长源电力有限责任公司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53</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005-电网工程施工（运检35kV及以下）</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青海海东乐都10kV红二路晁家村晁家台区等3个台区改造等7项工程施工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海东天润实业有限责任公司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58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59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青海海南同德县10kV滩三路北巴滩牧业点村018#杆线路延伸台区新建等4项工程施工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青海三新农电有限责任公司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64</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005-电网工程施工（运检35kV及以下）</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青海海南共和10kV江二路、湖一路莫热村上社高低压线路及配变台区改造等8项工程施工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青海孜创建设工程有限公司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69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青海海东化隆10kV雄一路乙么昂三社台区改造等6项工程施工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青海黄化电业实业有限公司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78</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005-电网工程施工（运检35kV及以下）</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青海海东循化10kV循四路003号台区改造等3项工程施工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青海黄化电业实业有限公司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79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青海黄南同仁10kV其三路线路改造等2项工程施工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青海黄化电业实业有限公司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包7</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青海西宁谦和110kV变电站10kV间隔扩建等2项工程施工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青海向阳电力建设工程有限公司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包8</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青海果洛玛沁县10kV桑三路02#台区低压延伸等9项工程施工</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青海卓郁建筑安装工程有限公司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89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包9</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青海海东深沟110kV变电站10kV配套送出工程施工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海东天润实业有限责任公司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95</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006-施工（大修技改）</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国网青海海西供电公司110kV察达Ⅰ回05号至21号、35kV察区线07号至22号施工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格尔木海电实业有限责任公司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国网青海检修公司750kV西宁变电站场区噪音治理施工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西安达明实业有限公司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97</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007-施工（小型基建）</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国网青海海东民和县供电公司满坪供电所工程施工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海东天润实业有限责任公司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国网青海海南共和县供电公司塘格木供电所扩建工程施工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青海宏海电力科技有限公司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99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国网青海海南贵南县供电公司森多供电所扩建工程施工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青海综合能源服务有限公司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国网青海海南共和县供电公司江西沟供电所扩建工程施工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青海宏海电力科技有限公司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国网青海海南共和县供电公司沙珠玉供电所扩建工程施工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青海综合能源服务有限公司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国网青海西宁大通县供电公司朔北供电所扩建项目工程施工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西宁电力实业有限公司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包7</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国网青海黄化供电公司2号综合楼综合改造工程施工</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西宁天瑞工程有限责任公司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104</w:t>
            </w:r>
          </w:p>
        </w:tc>
        <w:tc>
          <w:tcPr>
            <w:tcW w:w="194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008-电网工程监理（基建110kV及以上）</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巴音330千伏主变扩建工程监理</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青海智鑫电力监理咨询有限公司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105</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008-电网工程监理（基建110kV及以上）</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鱼卡750kV变电站间隔扩建等3项工程监理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青海智鑫电力监理咨询有限公司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青海海东深沟110kV输变电新建等2项工程（线路工程）监理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青海省电力技术开发实业有限公司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109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48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青海海南达玉110kV输变电新建工程监理</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青海省迪康咨询监理有限公司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青海海西亨嘉至镁都“T”接国源110kV线路</w:t>
            </w:r>
            <w:r w:rsidRPr="0076211D">
              <w:rPr>
                <w:rFonts w:ascii="宋体" w:hAnsi="宋体" w:cs="宋体" w:hint="eastAsia"/>
                <w:color w:val="000000"/>
                <w:kern w:val="0"/>
                <w:sz w:val="24"/>
                <w:szCs w:val="24"/>
                <w:lang/>
              </w:rPr>
              <w:lastRenderedPageBreak/>
              <w:t>新建工程监理</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青海省电力技术开发实</w:t>
            </w:r>
            <w:r w:rsidRPr="0076211D">
              <w:rPr>
                <w:rFonts w:ascii="宋体" w:hAnsi="宋体" w:cs="宋体" w:hint="eastAsia"/>
                <w:color w:val="000000"/>
                <w:kern w:val="0"/>
                <w:sz w:val="24"/>
                <w:szCs w:val="24"/>
                <w:lang/>
              </w:rPr>
              <w:lastRenderedPageBreak/>
              <w:t>业有限公司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112</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009-电网工程监理（基建35kV及以下）</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青海果洛查郎至德昂35kV线路新建工程监理</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青海省迪康咨询监理有限公司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青海海西俄博梁35kV输变电新建等2项工程监理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青海省电力技术开发实业有限公司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115</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010-电网工程监理（运检35kV及以下）</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青海海东乐都10kV红二路晁家村晁家台区等3个台区改造等7项工程监理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青海省电力技术开发实业有限公司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119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122</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010-电网工程监理（运检35kV及以下）</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青海海南同德县10kV滩三路北巴滩牧业点村018号杆线路延伸台区新建等12项工程监理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青海省迪康咨询监理有限公司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129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134</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010-电网工程监理（运检35kV及以下）</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青海海东化隆10kV雄一路乙么昂三社台区改造等11项工程监理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青海省电力技术开发实业有限公司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139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青海西宁谦和110kV变</w:t>
            </w:r>
            <w:r w:rsidRPr="0076211D">
              <w:rPr>
                <w:rFonts w:ascii="宋体" w:hAnsi="宋体" w:cs="宋体" w:hint="eastAsia"/>
                <w:color w:val="000000"/>
                <w:kern w:val="0"/>
                <w:sz w:val="24"/>
                <w:szCs w:val="24"/>
                <w:lang/>
              </w:rPr>
              <w:lastRenderedPageBreak/>
              <w:t>电站10kV间隔扩建等2项工程监理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青海省迪康</w:t>
            </w:r>
            <w:r w:rsidRPr="0076211D">
              <w:rPr>
                <w:rFonts w:ascii="宋体" w:hAnsi="宋体" w:cs="宋体" w:hint="eastAsia"/>
                <w:color w:val="000000"/>
                <w:kern w:val="0"/>
                <w:sz w:val="24"/>
                <w:szCs w:val="24"/>
                <w:lang/>
              </w:rPr>
              <w:lastRenderedPageBreak/>
              <w:t>咨询监理有限公司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146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147</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010-电网工程监理（运检35kV及以下）</w:t>
            </w: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青海果洛玛沁县10kV桑三路02号台区低压延伸等9项工程监理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青海省迪康咨询监理有限公司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149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青海海东深沟110kV变电站10kV配套送出等2项工程监理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甘肃科源电力工程咨询有限公司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158</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011-监理(小型基建)</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国网青海海东民和县供电公司满坪供电所工程监理</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青海省迪康咨询监理有限公司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159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国网青海海南共和县供电公司江西沟供电所扩建等3项工程监理</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青海恒鑫工程建设监理有限责任公司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国网青海西宁大通县供电公司朔北供电所扩建项目工程监理</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青海省迪康咨询监理有限公司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163</w:t>
            </w:r>
          </w:p>
        </w:tc>
        <w:tc>
          <w:tcPr>
            <w:tcW w:w="1940" w:type="dxa"/>
            <w:vMerge w:val="restart"/>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国网青海双创示范中心（成果展厅）日常运维项目服务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青海绿能数据有限公司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120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鱼卡-托素750千伏线路工程-GIM三维设计成果在输变电工程建设过程中的应用研究项目服务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北京洛斯达科技发展有限公司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沙柳（茶卡）330kV变电站新建工程等2项特殊试验项目服务</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青海电研科技有限责任公司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167</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014-服务（科技科研）</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青海海西直流送电江苏适应性研究项目服务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电力规划总院有限公司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168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青豫直流工程送端新能源汇集站多种无功补偿设备配置方案研究项目服务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国网经济技术研究院有限公司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169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国网青海电科院2020年青海电网GIS管线结构温差应力变形监测评价项目服务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青海电研科技有限责任公司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48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储能电站协调控制技术研究项目服务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清华大学</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大规模储能接入直流送端电网安全支撑技术研究项目服务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中国电力科学研究院有限公司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共享储能电站规划技术及调控技术研究项目服务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清华大学</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173</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014-服务（科技科研）</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包7</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基于区块链技术的共享储能运营模式及交易规则研究项目服务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浙江大学深圳研究院</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包8</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国网青海省电力公司职业卫生管理体系建设项目服务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浙江建安检测研究院有限公司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包9</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国网青海经研院（能研院）韵家口示范基地排水设施改造项目服务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中建国信工程建设集团有限公司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包10</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国网青海经研院（能研院）2020年韵家口示范基地运维服务项目服务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青海伟航北创新能源科技有限公司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国网青海电科院2020年度110kV变电站环境监测技术服务项目服务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浙江建安检测研究院有限公司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48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包12</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新能源行业数据接入总线研发项目服务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青海绿能数据有限公司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179</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015-服务（信息系统）</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国网青海信通公司-交易侧链省级节点建设-实施项目服务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国网区块链科技(北京)有限公司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180</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包2</w:t>
            </w:r>
          </w:p>
        </w:tc>
        <w:tc>
          <w:tcPr>
            <w:tcW w:w="248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国网青海电科院2020年青海电网雷电预警分析及防雷评估等2项项目服务</w:t>
            </w:r>
          </w:p>
        </w:tc>
        <w:tc>
          <w:tcPr>
            <w:tcW w:w="1259"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国网电力科学研究院武汉南瑞有限责任公司</w:t>
            </w:r>
          </w:p>
        </w:tc>
        <w:tc>
          <w:tcPr>
            <w:tcW w:w="1443"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286"/>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248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259"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1443"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182</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015-服务（信息系统）</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包3</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国网青海电科院2020年网络安全保障专项技术服务项目服务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四维创智(北京)科技发展有限公司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183</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国网青海电科院2020年信息系统等级保护测</w:t>
            </w:r>
            <w:r w:rsidRPr="0076211D">
              <w:rPr>
                <w:rFonts w:ascii="宋体" w:hAnsi="宋体" w:cs="宋体" w:hint="eastAsia"/>
                <w:color w:val="000000"/>
                <w:kern w:val="0"/>
                <w:sz w:val="24"/>
                <w:szCs w:val="24"/>
                <w:lang/>
              </w:rPr>
              <w:lastRenderedPageBreak/>
              <w:t>评项目服务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中国电力科学研究院有</w:t>
            </w:r>
            <w:r w:rsidRPr="0076211D">
              <w:rPr>
                <w:rFonts w:ascii="宋体" w:hAnsi="宋体" w:cs="宋体" w:hint="eastAsia"/>
                <w:color w:val="000000"/>
                <w:kern w:val="0"/>
                <w:sz w:val="24"/>
                <w:szCs w:val="24"/>
                <w:lang/>
              </w:rPr>
              <w:lastRenderedPageBreak/>
              <w:t>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lastRenderedPageBreak/>
              <w:t>184</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国网青海电科院 2020 年信息安全技术督查运维项目服务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北京中电普华信息技术有限公司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185</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包6</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青海电网谐振风险评估与预警服务项目服务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深圳市中电电力技术股份有限公司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186</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包8</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国网青海省电力公司安全生产风险管控平台建设Ⅱ期优化项目服务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南京南瑞信息通信科技有限公司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187</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包9</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国网青海信通公司省调公共资源管理功能调控云化升级项目服务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南京南瑞信息通信科技有限公司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188</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包10</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国网青海信通公司省调模型数据平台调控云化升级项目服务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南京南瑞信息通信科技有限公司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72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189</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包11</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国网青海信通公司省调服务体系功能调控云化升级项目服务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泰豪软件股份有限公司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190</w:t>
            </w:r>
          </w:p>
        </w:tc>
        <w:tc>
          <w:tcPr>
            <w:tcW w:w="1940" w:type="dxa"/>
            <w:vMerge w:val="restart"/>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015-服务（信息系统）</w:t>
            </w: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包12</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国网青海信通公司省调数据查询统计类应用调控云化升级项目服务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南京南瑞信息通信科技有限公司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191</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包14</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国网青海信通公司省调日前发电计划与静态安全校核功能改造项目服务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泰豪软件股份有限公司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r w:rsidR="005A0DC8" w:rsidRPr="0076211D" w:rsidTr="001146FF">
        <w:trPr>
          <w:trHeight w:val="960"/>
        </w:trPr>
        <w:tc>
          <w:tcPr>
            <w:tcW w:w="6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192</w:t>
            </w:r>
          </w:p>
        </w:tc>
        <w:tc>
          <w:tcPr>
            <w:tcW w:w="1940" w:type="dxa"/>
            <w:vMerge/>
            <w:shd w:val="clear" w:color="auto" w:fill="auto"/>
            <w:vAlign w:val="center"/>
          </w:tcPr>
          <w:p w:rsidR="005A0DC8" w:rsidRPr="0076211D" w:rsidRDefault="005A0DC8" w:rsidP="001146FF">
            <w:pPr>
              <w:jc w:val="center"/>
              <w:rPr>
                <w:rFonts w:ascii="宋体" w:hAnsi="宋体" w:cs="宋体"/>
                <w:color w:val="000000"/>
                <w:sz w:val="24"/>
                <w:szCs w:val="24"/>
              </w:rPr>
            </w:pPr>
          </w:p>
        </w:tc>
        <w:tc>
          <w:tcPr>
            <w:tcW w:w="73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包15</w:t>
            </w:r>
          </w:p>
        </w:tc>
        <w:tc>
          <w:tcPr>
            <w:tcW w:w="2480"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国网青海信通公司2020年电能质量可靠性指标分析决策项目服务</w:t>
            </w:r>
          </w:p>
        </w:tc>
        <w:tc>
          <w:tcPr>
            <w:tcW w:w="1259"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北京中恒博瑞数字电力科技有限公司</w:t>
            </w:r>
          </w:p>
        </w:tc>
        <w:tc>
          <w:tcPr>
            <w:tcW w:w="1443" w:type="dxa"/>
            <w:shd w:val="clear" w:color="auto" w:fill="auto"/>
            <w:vAlign w:val="center"/>
          </w:tcPr>
          <w:p w:rsidR="005A0DC8" w:rsidRPr="0076211D" w:rsidRDefault="005A0DC8" w:rsidP="001146FF">
            <w:pPr>
              <w:widowControl/>
              <w:jc w:val="center"/>
              <w:textAlignment w:val="center"/>
              <w:rPr>
                <w:rFonts w:ascii="宋体" w:hAnsi="宋体" w:cs="宋体"/>
                <w:color w:val="000000"/>
                <w:sz w:val="24"/>
                <w:szCs w:val="24"/>
              </w:rPr>
            </w:pPr>
            <w:r w:rsidRPr="0076211D">
              <w:rPr>
                <w:rFonts w:ascii="宋体" w:hAnsi="宋体" w:cs="宋体" w:hint="eastAsia"/>
                <w:color w:val="000000"/>
                <w:kern w:val="0"/>
                <w:sz w:val="24"/>
                <w:szCs w:val="24"/>
                <w:lang/>
              </w:rPr>
              <w:t>/</w:t>
            </w:r>
          </w:p>
        </w:tc>
      </w:tr>
    </w:tbl>
    <w:p w:rsidR="00715345" w:rsidRDefault="00715345"/>
    <w:sectPr w:rsidR="00715345" w:rsidSect="0071534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A0DC8"/>
    <w:rsid w:val="005A0DC8"/>
    <w:rsid w:val="0071534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DC8"/>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5A0DC8"/>
    <w:rPr>
      <w:sz w:val="18"/>
      <w:szCs w:val="18"/>
    </w:rPr>
  </w:style>
  <w:style w:type="character" w:customStyle="1" w:styleId="Char">
    <w:name w:val="批注框文本 Char"/>
    <w:basedOn w:val="a0"/>
    <w:link w:val="a3"/>
    <w:uiPriority w:val="99"/>
    <w:qFormat/>
    <w:rsid w:val="005A0DC8"/>
    <w:rPr>
      <w:rFonts w:ascii="Calibri" w:eastAsia="宋体" w:hAnsi="Calibri" w:cs="Times New Roman"/>
      <w:sz w:val="18"/>
      <w:szCs w:val="18"/>
    </w:rPr>
  </w:style>
  <w:style w:type="paragraph" w:styleId="a4">
    <w:name w:val="footer"/>
    <w:basedOn w:val="a"/>
    <w:link w:val="Char0"/>
    <w:unhideWhenUsed/>
    <w:qFormat/>
    <w:rsid w:val="005A0DC8"/>
    <w:pPr>
      <w:tabs>
        <w:tab w:val="center" w:pos="4153"/>
        <w:tab w:val="right" w:pos="8306"/>
      </w:tabs>
      <w:snapToGrid w:val="0"/>
      <w:jc w:val="left"/>
    </w:pPr>
    <w:rPr>
      <w:sz w:val="18"/>
      <w:szCs w:val="18"/>
    </w:rPr>
  </w:style>
  <w:style w:type="character" w:customStyle="1" w:styleId="Char0">
    <w:name w:val="页脚 Char"/>
    <w:basedOn w:val="a0"/>
    <w:link w:val="a4"/>
    <w:qFormat/>
    <w:rsid w:val="005A0DC8"/>
    <w:rPr>
      <w:rFonts w:ascii="Calibri" w:eastAsia="宋体" w:hAnsi="Calibri" w:cs="Times New Roman"/>
      <w:sz w:val="18"/>
      <w:szCs w:val="18"/>
    </w:rPr>
  </w:style>
  <w:style w:type="paragraph" w:styleId="a5">
    <w:name w:val="header"/>
    <w:basedOn w:val="a"/>
    <w:link w:val="Char1"/>
    <w:unhideWhenUsed/>
    <w:qFormat/>
    <w:rsid w:val="005A0DC8"/>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qFormat/>
    <w:rsid w:val="005A0DC8"/>
    <w:rPr>
      <w:rFonts w:ascii="Calibri" w:eastAsia="宋体" w:hAnsi="Calibri" w:cs="Times New Roman"/>
      <w:sz w:val="18"/>
      <w:szCs w:val="18"/>
    </w:rPr>
  </w:style>
  <w:style w:type="character" w:styleId="a6">
    <w:name w:val="FollowedHyperlink"/>
    <w:basedOn w:val="a0"/>
    <w:uiPriority w:val="99"/>
    <w:unhideWhenUsed/>
    <w:qFormat/>
    <w:rsid w:val="005A0DC8"/>
    <w:rPr>
      <w:color w:val="666666"/>
      <w:u w:val="none"/>
    </w:rPr>
  </w:style>
  <w:style w:type="character" w:styleId="a7">
    <w:name w:val="Hyperlink"/>
    <w:basedOn w:val="a0"/>
    <w:uiPriority w:val="99"/>
    <w:unhideWhenUsed/>
    <w:qFormat/>
    <w:rsid w:val="005A0DC8"/>
    <w:rPr>
      <w:color w:val="666666"/>
      <w:u w:val="none"/>
    </w:rPr>
  </w:style>
  <w:style w:type="paragraph" w:customStyle="1" w:styleId="15">
    <w:name w:val="样式15"/>
    <w:basedOn w:val="a"/>
    <w:link w:val="15Char"/>
    <w:qFormat/>
    <w:rsid w:val="005A0DC8"/>
    <w:pPr>
      <w:spacing w:line="360" w:lineRule="auto"/>
      <w:ind w:right="-58" w:firstLineChars="200" w:firstLine="640"/>
    </w:pPr>
    <w:rPr>
      <w:rFonts w:ascii="仿宋_GB2312" w:eastAsia="仿宋_GB2312" w:hAnsi="宋体"/>
      <w:sz w:val="32"/>
      <w:szCs w:val="32"/>
    </w:rPr>
  </w:style>
  <w:style w:type="paragraph" w:customStyle="1" w:styleId="font5">
    <w:name w:val="font5"/>
    <w:basedOn w:val="a"/>
    <w:qFormat/>
    <w:rsid w:val="005A0DC8"/>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qFormat/>
    <w:rsid w:val="005A0DC8"/>
    <w:pPr>
      <w:widowControl/>
      <w:spacing w:before="100" w:beforeAutospacing="1" w:after="100" w:afterAutospacing="1"/>
      <w:jc w:val="left"/>
    </w:pPr>
    <w:rPr>
      <w:rFonts w:ascii="宋体" w:hAnsi="宋体" w:cs="宋体"/>
      <w:kern w:val="0"/>
      <w:sz w:val="20"/>
      <w:szCs w:val="20"/>
    </w:rPr>
  </w:style>
  <w:style w:type="paragraph" w:customStyle="1" w:styleId="xl65">
    <w:name w:val="xl65"/>
    <w:basedOn w:val="a"/>
    <w:qFormat/>
    <w:rsid w:val="005A0DC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66">
    <w:name w:val="xl66"/>
    <w:basedOn w:val="a"/>
    <w:qFormat/>
    <w:rsid w:val="005A0DC8"/>
    <w:pPr>
      <w:widowControl/>
      <w:pBdr>
        <w:top w:val="single" w:sz="8" w:space="0" w:color="auto"/>
        <w:bottom w:val="single" w:sz="8" w:space="0" w:color="auto"/>
        <w:right w:val="single" w:sz="8" w:space="0" w:color="auto"/>
      </w:pBdr>
      <w:spacing w:before="100" w:beforeAutospacing="1" w:after="100" w:afterAutospacing="1"/>
      <w:jc w:val="center"/>
    </w:pPr>
    <w:rPr>
      <w:rFonts w:ascii="宋体" w:hAnsi="宋体" w:cs="宋体"/>
      <w:b/>
      <w:bCs/>
      <w:color w:val="000000"/>
      <w:kern w:val="0"/>
      <w:sz w:val="24"/>
      <w:szCs w:val="24"/>
    </w:rPr>
  </w:style>
  <w:style w:type="paragraph" w:customStyle="1" w:styleId="xl67">
    <w:name w:val="xl67"/>
    <w:basedOn w:val="a"/>
    <w:qFormat/>
    <w:rsid w:val="005A0DC8"/>
    <w:pPr>
      <w:widowControl/>
      <w:pBdr>
        <w:left w:val="single" w:sz="8" w:space="0" w:color="auto"/>
        <w:bottom w:val="single" w:sz="8" w:space="0" w:color="auto"/>
        <w:right w:val="single" w:sz="8" w:space="0" w:color="auto"/>
      </w:pBdr>
      <w:spacing w:before="100" w:beforeAutospacing="1" w:after="100" w:afterAutospacing="1"/>
      <w:jc w:val="center"/>
    </w:pPr>
    <w:rPr>
      <w:rFonts w:cs="宋体"/>
      <w:color w:val="000000"/>
      <w:kern w:val="0"/>
      <w:sz w:val="20"/>
      <w:szCs w:val="20"/>
    </w:rPr>
  </w:style>
  <w:style w:type="character" w:customStyle="1" w:styleId="15Char">
    <w:name w:val="样式15 Char"/>
    <w:basedOn w:val="a0"/>
    <w:link w:val="15"/>
    <w:qFormat/>
    <w:rsid w:val="005A0DC8"/>
    <w:rPr>
      <w:rFonts w:ascii="仿宋_GB2312" w:eastAsia="仿宋_GB2312" w:hAnsi="宋体" w:cs="Times New Roman"/>
      <w:sz w:val="32"/>
      <w:szCs w:val="32"/>
    </w:rPr>
  </w:style>
  <w:style w:type="character" w:customStyle="1" w:styleId="font31">
    <w:name w:val="font31"/>
    <w:basedOn w:val="a0"/>
    <w:qFormat/>
    <w:rsid w:val="005A0DC8"/>
    <w:rPr>
      <w:rFonts w:ascii="宋体" w:eastAsia="宋体" w:hAnsi="宋体" w:cs="宋体" w:hint="eastAsia"/>
      <w:color w:val="000000"/>
      <w:sz w:val="16"/>
      <w:szCs w:val="16"/>
      <w:u w:val="none"/>
    </w:rPr>
  </w:style>
  <w:style w:type="character" w:customStyle="1" w:styleId="font21">
    <w:name w:val="font21"/>
    <w:basedOn w:val="a0"/>
    <w:qFormat/>
    <w:rsid w:val="005A0DC8"/>
    <w:rPr>
      <w:rFonts w:ascii="宋体" w:eastAsia="宋体" w:hAnsi="宋体" w:cs="宋体" w:hint="eastAsia"/>
      <w:color w:val="FF0000"/>
      <w:sz w:val="16"/>
      <w:szCs w:val="16"/>
      <w:u w:val="none"/>
    </w:rPr>
  </w:style>
  <w:style w:type="character" w:customStyle="1" w:styleId="selecthover">
    <w:name w:val="selecthover"/>
    <w:basedOn w:val="a0"/>
    <w:qFormat/>
    <w:rsid w:val="005A0DC8"/>
    <w:rPr>
      <w:color w:val="FFFFFF"/>
      <w:shd w:val="clear" w:color="auto" w:fill="316AC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962</Words>
  <Characters>5486</Characters>
  <Application>Microsoft Office Word</Application>
  <DocSecurity>0</DocSecurity>
  <Lines>45</Lines>
  <Paragraphs>12</Paragraphs>
  <ScaleCrop>false</ScaleCrop>
  <Company>微软中国</Company>
  <LinksUpToDate>false</LinksUpToDate>
  <CharactersWithSpaces>6436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2020-07-13T01:33:00Z</dcterms:created>
  <dcterms:modified xsi:type="dcterms:W3CDTF">2020-07-13T01:33:00Z</dcterms:modified>
</cp:coreProperties>
</file>