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4536"/>
        <w:gridCol w:w="567"/>
        <w:gridCol w:w="567"/>
        <w:gridCol w:w="2693"/>
      </w:tblGrid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Chars="-50" w:left="-105" w:rightChars="-50" w:right="-105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序号</w:t>
            </w:r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Chars="-50" w:left="-105" w:rightChars="-50" w:right="-105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设备名称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Chars="-50" w:left="-105" w:rightChars="-50" w:right="-105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单位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Chars="-50" w:left="-105" w:rightChars="-50" w:right="-105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数量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Chars="-50" w:left="-105" w:rightChars="-50" w:right="-105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备注</w:t>
            </w:r>
          </w:p>
        </w:tc>
      </w:tr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contextualSpacing/>
              <w:jc w:val="center"/>
              <w:rPr>
                <w:color w:val="000000" w:themeColor="text1"/>
                <w:spacing w:val="5"/>
                <w:sz w:val="24"/>
                <w:szCs w:val="18"/>
              </w:rPr>
            </w:pPr>
            <w:proofErr w:type="gramStart"/>
            <w:r w:rsidRPr="00CD0717">
              <w:rPr>
                <w:color w:val="000000" w:themeColor="text1"/>
                <w:spacing w:val="5"/>
                <w:sz w:val="24"/>
                <w:szCs w:val="18"/>
              </w:rPr>
              <w:t>一</w:t>
            </w:r>
            <w:proofErr w:type="gramEnd"/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contextualSpacing/>
              <w:jc w:val="left"/>
              <w:rPr>
                <w:color w:val="000000" w:themeColor="text1"/>
                <w:spacing w:val="5"/>
                <w:sz w:val="24"/>
                <w:szCs w:val="18"/>
              </w:rPr>
            </w:pPr>
            <w:r w:rsidRPr="00CD0717">
              <w:rPr>
                <w:color w:val="000000" w:themeColor="text1"/>
                <w:spacing w:val="5"/>
                <w:sz w:val="24"/>
                <w:szCs w:val="18"/>
              </w:rPr>
              <w:t>程控调度交换机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contextualSpacing/>
              <w:jc w:val="center"/>
              <w:rPr>
                <w:color w:val="000000" w:themeColor="text1"/>
                <w:spacing w:val="5"/>
                <w:sz w:val="24"/>
                <w:szCs w:val="18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contextualSpacing/>
              <w:jc w:val="center"/>
              <w:rPr>
                <w:color w:val="000000" w:themeColor="text1"/>
                <w:spacing w:val="5"/>
                <w:sz w:val="24"/>
                <w:szCs w:val="18"/>
              </w:rPr>
            </w:pP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contextualSpacing/>
              <w:jc w:val="left"/>
              <w:rPr>
                <w:color w:val="000000" w:themeColor="text1"/>
                <w:spacing w:val="5"/>
                <w:sz w:val="24"/>
                <w:szCs w:val="18"/>
              </w:rPr>
            </w:pPr>
            <w:r w:rsidRPr="00CD0717">
              <w:rPr>
                <w:color w:val="000000" w:themeColor="text1"/>
                <w:spacing w:val="5"/>
                <w:sz w:val="24"/>
                <w:szCs w:val="18"/>
              </w:rPr>
              <w:t>同柜配置</w:t>
            </w:r>
            <w:r w:rsidRPr="00CD0717">
              <w:rPr>
                <w:color w:val="000000" w:themeColor="text1"/>
                <w:spacing w:val="5"/>
                <w:sz w:val="24"/>
                <w:szCs w:val="18"/>
              </w:rPr>
              <w:t>100</w:t>
            </w:r>
            <w:r w:rsidRPr="00CD0717">
              <w:rPr>
                <w:color w:val="000000" w:themeColor="text1"/>
                <w:spacing w:val="5"/>
                <w:sz w:val="24"/>
                <w:szCs w:val="18"/>
              </w:rPr>
              <w:t>回保安配线单元</w:t>
            </w:r>
          </w:p>
        </w:tc>
      </w:tr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1</w:t>
            </w:r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left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调度交换机，含调度台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left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</w:p>
        </w:tc>
      </w:tr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1.1</w:t>
            </w:r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left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机柜高</w:t>
            </w: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×</w:t>
            </w: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宽</w:t>
            </w: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×</w:t>
            </w: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深：</w:t>
            </w: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2260×600×600mm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架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1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left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含电源分配单元</w:t>
            </w:r>
          </w:p>
        </w:tc>
      </w:tr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1.2</w:t>
            </w:r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left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主控单元及公共部分时隙交叉矩阵不小于</w:t>
            </w: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2048×2048</w:t>
            </w: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，</w:t>
            </w: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1+1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块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1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left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</w:p>
        </w:tc>
      </w:tr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1.3</w:t>
            </w:r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left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E1</w:t>
            </w: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数字中继板</w:t>
            </w: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 xml:space="preserve"> 2CH/</w:t>
            </w: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板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块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2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left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proofErr w:type="gramStart"/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满配配线电缆</w:t>
            </w:r>
            <w:proofErr w:type="gramEnd"/>
          </w:p>
        </w:tc>
      </w:tr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1.4</w:t>
            </w:r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left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调度用户接口板不少于</w:t>
            </w: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2CH/</w:t>
            </w: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板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块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1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left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</w:p>
        </w:tc>
      </w:tr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1.5</w:t>
            </w:r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left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模拟用户板，支持来电显示</w:t>
            </w: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 xml:space="preserve"> 16CH/</w:t>
            </w: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板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块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3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left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proofErr w:type="gramStart"/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满配配线电缆</w:t>
            </w:r>
            <w:proofErr w:type="gramEnd"/>
          </w:p>
        </w:tc>
      </w:tr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1.6</w:t>
            </w:r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left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信令处理板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块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1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left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</w:p>
        </w:tc>
      </w:tr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1.7</w:t>
            </w:r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数字录音板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块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1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</w:p>
        </w:tc>
      </w:tr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1.8</w:t>
            </w:r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left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会议电话板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块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1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left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</w:p>
        </w:tc>
      </w:tr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2</w:t>
            </w:r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left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调度台及连接电缆、液晶</w:t>
            </w: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+</w:t>
            </w: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键盘式，</w:t>
            </w: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64</w:t>
            </w: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键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1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left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</w:p>
        </w:tc>
      </w:tr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3</w:t>
            </w:r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left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数字录音系统</w:t>
            </w: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16CH</w:t>
            </w: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，每路录音时长不小于</w:t>
            </w: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3000h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套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1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left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</w:p>
        </w:tc>
      </w:tr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4</w:t>
            </w:r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left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维护终端及软件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套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1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left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</w:p>
        </w:tc>
      </w:tr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5</w:t>
            </w:r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contextualSpacing/>
              <w:jc w:val="left"/>
              <w:rPr>
                <w:color w:val="000000" w:themeColor="text1"/>
                <w:spacing w:val="5"/>
                <w:sz w:val="24"/>
                <w:szCs w:val="18"/>
              </w:rPr>
            </w:pPr>
            <w:r w:rsidRPr="00CD0717">
              <w:rPr>
                <w:color w:val="000000" w:themeColor="text1"/>
                <w:spacing w:val="5"/>
                <w:sz w:val="24"/>
                <w:szCs w:val="18"/>
              </w:rPr>
              <w:t>布置录音系统和维护终端的工作台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left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</w:p>
        </w:tc>
      </w:tr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contextualSpacing/>
              <w:jc w:val="center"/>
              <w:rPr>
                <w:color w:val="000000" w:themeColor="text1"/>
                <w:sz w:val="24"/>
                <w:szCs w:val="18"/>
              </w:rPr>
            </w:pPr>
            <w:r w:rsidRPr="00CD0717">
              <w:rPr>
                <w:color w:val="000000" w:themeColor="text1"/>
                <w:sz w:val="24"/>
                <w:szCs w:val="18"/>
              </w:rPr>
              <w:t>二</w:t>
            </w:r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contextualSpacing/>
              <w:jc w:val="left"/>
              <w:rPr>
                <w:color w:val="000000" w:themeColor="text1"/>
                <w:sz w:val="24"/>
                <w:szCs w:val="18"/>
              </w:rPr>
            </w:pPr>
            <w:r w:rsidRPr="00CD0717">
              <w:rPr>
                <w:color w:val="000000" w:themeColor="text1"/>
                <w:sz w:val="24"/>
                <w:szCs w:val="18"/>
              </w:rPr>
              <w:t>综合配线柜（含尾</w:t>
            </w:r>
            <w:proofErr w:type="gramStart"/>
            <w:r w:rsidRPr="00CD0717">
              <w:rPr>
                <w:color w:val="000000" w:themeColor="text1"/>
                <w:sz w:val="24"/>
                <w:szCs w:val="18"/>
              </w:rPr>
              <w:t>纤</w:t>
            </w:r>
            <w:proofErr w:type="gramEnd"/>
            <w:r w:rsidRPr="00CD0717">
              <w:rPr>
                <w:color w:val="000000" w:themeColor="text1"/>
                <w:sz w:val="24"/>
                <w:szCs w:val="18"/>
              </w:rPr>
              <w:t>）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contextualSpacing/>
              <w:jc w:val="center"/>
              <w:rPr>
                <w:color w:val="000000" w:themeColor="text1"/>
                <w:sz w:val="24"/>
                <w:szCs w:val="18"/>
              </w:rPr>
            </w:pPr>
            <w:r w:rsidRPr="00CD0717">
              <w:rPr>
                <w:color w:val="000000" w:themeColor="text1"/>
                <w:sz w:val="24"/>
                <w:szCs w:val="18"/>
              </w:rPr>
              <w:t>台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contextualSpacing/>
              <w:jc w:val="center"/>
              <w:rPr>
                <w:color w:val="000000" w:themeColor="text1"/>
                <w:sz w:val="24"/>
                <w:szCs w:val="18"/>
              </w:rPr>
            </w:pPr>
            <w:r w:rsidRPr="00CD0717">
              <w:rPr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contextualSpacing/>
              <w:jc w:val="left"/>
              <w:rPr>
                <w:color w:val="000000" w:themeColor="text1"/>
                <w:sz w:val="24"/>
                <w:szCs w:val="18"/>
              </w:rPr>
            </w:pPr>
          </w:p>
        </w:tc>
      </w:tr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contextualSpacing/>
              <w:jc w:val="center"/>
              <w:rPr>
                <w:color w:val="000000" w:themeColor="text1"/>
                <w:sz w:val="24"/>
                <w:szCs w:val="18"/>
              </w:rPr>
            </w:pPr>
            <w:r w:rsidRPr="00CD0717">
              <w:rPr>
                <w:color w:val="000000" w:themeColor="text1"/>
                <w:sz w:val="24"/>
                <w:szCs w:val="18"/>
              </w:rPr>
              <w:t>1</w:t>
            </w:r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left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配线机柜高</w:t>
            </w: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×</w:t>
            </w: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宽</w:t>
            </w: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×</w:t>
            </w: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深：</w:t>
            </w: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2260×800×600mm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架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1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contextualSpacing/>
              <w:jc w:val="left"/>
              <w:rPr>
                <w:color w:val="000000" w:themeColor="text1"/>
                <w:sz w:val="24"/>
                <w:szCs w:val="18"/>
              </w:rPr>
            </w:pPr>
          </w:p>
        </w:tc>
      </w:tr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contextualSpacing/>
              <w:jc w:val="center"/>
              <w:rPr>
                <w:color w:val="000000" w:themeColor="text1"/>
                <w:sz w:val="24"/>
                <w:szCs w:val="18"/>
              </w:rPr>
            </w:pPr>
            <w:r w:rsidRPr="00CD0717">
              <w:rPr>
                <w:color w:val="000000" w:themeColor="text1"/>
                <w:sz w:val="24"/>
                <w:szCs w:val="18"/>
              </w:rPr>
              <w:t>2</w:t>
            </w:r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left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光配线单元</w:t>
            </w: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 xml:space="preserve"> 4</w:t>
            </w: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芯</w:t>
            </w: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×6</w:t>
            </w: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管，含尾</w:t>
            </w:r>
            <w:proofErr w:type="gramStart"/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纤</w:t>
            </w:r>
            <w:proofErr w:type="gramEnd"/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及盘</w:t>
            </w:r>
            <w:proofErr w:type="gramStart"/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纤</w:t>
            </w:r>
            <w:proofErr w:type="gramEnd"/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、熔接适配器等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套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1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contextualSpacing/>
              <w:jc w:val="left"/>
              <w:rPr>
                <w:color w:val="000000" w:themeColor="text1"/>
                <w:sz w:val="24"/>
                <w:szCs w:val="18"/>
              </w:rPr>
            </w:pPr>
          </w:p>
        </w:tc>
      </w:tr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contextualSpacing/>
              <w:jc w:val="center"/>
              <w:rPr>
                <w:color w:val="000000" w:themeColor="text1"/>
                <w:sz w:val="24"/>
                <w:szCs w:val="18"/>
              </w:rPr>
            </w:pPr>
            <w:r w:rsidRPr="00CD0717">
              <w:rPr>
                <w:color w:val="000000" w:themeColor="text1"/>
                <w:sz w:val="24"/>
                <w:szCs w:val="18"/>
              </w:rPr>
              <w:t>3</w:t>
            </w:r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left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数字配线单元</w:t>
            </w: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 xml:space="preserve"> 64</w:t>
            </w: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系统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套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pStyle w:val="a3"/>
              <w:ind w:left="0" w:firstLine="0"/>
              <w:contextualSpacing/>
              <w:jc w:val="center"/>
              <w:rPr>
                <w:rFonts w:ascii="Times New Roman" w:hAnsi="Times New Roman"/>
                <w:color w:val="000000" w:themeColor="text1"/>
                <w:kern w:val="0"/>
                <w:szCs w:val="18"/>
              </w:rPr>
            </w:pPr>
            <w:r w:rsidRPr="00CD0717">
              <w:rPr>
                <w:rFonts w:ascii="Times New Roman" w:hAnsi="Times New Roman"/>
                <w:color w:val="000000" w:themeColor="text1"/>
                <w:kern w:val="0"/>
                <w:szCs w:val="18"/>
              </w:rPr>
              <w:t>1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contextualSpacing/>
              <w:jc w:val="left"/>
              <w:rPr>
                <w:color w:val="000000" w:themeColor="text1"/>
                <w:sz w:val="24"/>
                <w:szCs w:val="18"/>
              </w:rPr>
            </w:pPr>
          </w:p>
        </w:tc>
      </w:tr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contextualSpacing/>
              <w:jc w:val="center"/>
              <w:rPr>
                <w:color w:val="000000" w:themeColor="text1"/>
                <w:sz w:val="24"/>
                <w:szCs w:val="18"/>
              </w:rPr>
            </w:pPr>
            <w:r w:rsidRPr="00CD0717">
              <w:rPr>
                <w:color w:val="000000" w:themeColor="text1"/>
                <w:sz w:val="24"/>
                <w:szCs w:val="18"/>
              </w:rPr>
              <w:t>三</w:t>
            </w:r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contextualSpacing/>
              <w:jc w:val="left"/>
              <w:rPr>
                <w:color w:val="000000" w:themeColor="text1"/>
                <w:sz w:val="24"/>
                <w:szCs w:val="18"/>
              </w:rPr>
            </w:pPr>
            <w:r w:rsidRPr="00CD0717">
              <w:rPr>
                <w:color w:val="000000" w:themeColor="text1"/>
                <w:sz w:val="24"/>
                <w:szCs w:val="18"/>
              </w:rPr>
              <w:t>通信电源系统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bCs/>
                <w:color w:val="000000" w:themeColor="text1"/>
                <w:kern w:val="0"/>
                <w:sz w:val="24"/>
                <w:szCs w:val="18"/>
              </w:rPr>
            </w:pP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bCs/>
                <w:color w:val="000000" w:themeColor="text1"/>
                <w:kern w:val="0"/>
                <w:sz w:val="24"/>
                <w:szCs w:val="18"/>
              </w:rPr>
            </w:pP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contextualSpacing/>
              <w:jc w:val="left"/>
              <w:rPr>
                <w:color w:val="000000" w:themeColor="text1"/>
                <w:sz w:val="24"/>
                <w:szCs w:val="18"/>
              </w:rPr>
            </w:pPr>
          </w:p>
        </w:tc>
      </w:tr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高频开关电源（</w:t>
            </w:r>
            <w:r w:rsidRPr="00CD0717">
              <w:rPr>
                <w:color w:val="000000" w:themeColor="text1"/>
                <w:kern w:val="0"/>
                <w:sz w:val="24"/>
                <w:szCs w:val="18"/>
              </w:rPr>
              <w:t>-48V/120A</w:t>
            </w:r>
            <w:r w:rsidRPr="00CD0717">
              <w:rPr>
                <w:color w:val="000000" w:themeColor="text1"/>
                <w:kern w:val="0"/>
                <w:sz w:val="24"/>
                <w:szCs w:val="18"/>
              </w:rPr>
              <w:t>）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套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2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</w:p>
        </w:tc>
      </w:tr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1.1</w:t>
            </w:r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交流输入开关（三相五线）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路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2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两套，每套含两路</w:t>
            </w:r>
          </w:p>
        </w:tc>
      </w:tr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1.2</w:t>
            </w:r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交流双路切换装置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套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2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</w:p>
        </w:tc>
      </w:tr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1.3</w:t>
            </w:r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交流配电单元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套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2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</w:p>
        </w:tc>
      </w:tr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1.4</w:t>
            </w:r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直流配电单元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套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2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</w:p>
        </w:tc>
      </w:tr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1.4.1</w:t>
            </w:r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蓄电池分路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路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2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</w:p>
        </w:tc>
      </w:tr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1.4.2</w:t>
            </w:r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直流配电单元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套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2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</w:p>
        </w:tc>
      </w:tr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1.5</w:t>
            </w:r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整流模块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proofErr w:type="gramStart"/>
            <w:r w:rsidRPr="00CD0717">
              <w:rPr>
                <w:color w:val="000000" w:themeColor="text1"/>
                <w:kern w:val="0"/>
                <w:sz w:val="24"/>
                <w:szCs w:val="18"/>
              </w:rPr>
              <w:t>个</w:t>
            </w:r>
            <w:proofErr w:type="gramEnd"/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5*2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N+1</w:t>
            </w:r>
            <w:r w:rsidRPr="00CD0717">
              <w:rPr>
                <w:color w:val="000000" w:themeColor="text1"/>
                <w:kern w:val="0"/>
                <w:sz w:val="24"/>
                <w:szCs w:val="18"/>
              </w:rPr>
              <w:t>配置，</w:t>
            </w:r>
            <w:r w:rsidRPr="00CD0717">
              <w:rPr>
                <w:color w:val="000000" w:themeColor="text1"/>
                <w:kern w:val="0"/>
                <w:sz w:val="24"/>
                <w:szCs w:val="18"/>
              </w:rPr>
              <w:t>N</w:t>
            </w:r>
            <w:proofErr w:type="gramStart"/>
            <w:r w:rsidRPr="00CD0717">
              <w:rPr>
                <w:color w:val="000000" w:themeColor="text1"/>
                <w:kern w:val="0"/>
                <w:sz w:val="24"/>
                <w:szCs w:val="18"/>
              </w:rPr>
              <w:t>个</w:t>
            </w:r>
            <w:proofErr w:type="gramEnd"/>
            <w:r w:rsidRPr="00CD0717">
              <w:rPr>
                <w:color w:val="000000" w:themeColor="text1"/>
                <w:kern w:val="0"/>
                <w:sz w:val="24"/>
                <w:szCs w:val="18"/>
              </w:rPr>
              <w:t>模块的总容量</w:t>
            </w:r>
            <w:r w:rsidRPr="00CD0717">
              <w:rPr>
                <w:color w:val="000000" w:themeColor="text1"/>
                <w:kern w:val="0"/>
                <w:sz w:val="24"/>
                <w:szCs w:val="18"/>
              </w:rPr>
              <w:t>≥120A</w:t>
            </w:r>
          </w:p>
        </w:tc>
      </w:tr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1.6</w:t>
            </w:r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监控单元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套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2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</w:p>
        </w:tc>
      </w:tr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1.7</w:t>
            </w:r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机柜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proofErr w:type="gramStart"/>
            <w:r w:rsidRPr="00CD0717">
              <w:rPr>
                <w:color w:val="000000" w:themeColor="text1"/>
                <w:kern w:val="0"/>
                <w:sz w:val="24"/>
                <w:szCs w:val="18"/>
              </w:rPr>
              <w:t>个</w:t>
            </w:r>
            <w:proofErr w:type="gramEnd"/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2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</w:p>
        </w:tc>
      </w:tr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1.8</w:t>
            </w:r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连接电缆（含接头）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套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2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</w:p>
        </w:tc>
      </w:tr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1.8.1</w:t>
            </w:r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开关电源内部连接电缆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套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2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</w:p>
        </w:tc>
      </w:tr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1.8.2</w:t>
            </w:r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开关电源与蓄电池的连接电缆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套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2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</w:p>
        </w:tc>
      </w:tr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1.9</w:t>
            </w:r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低压隔离保护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套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2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</w:p>
        </w:tc>
      </w:tr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1.10</w:t>
            </w:r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交流避雷装置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套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2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</w:p>
        </w:tc>
      </w:tr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1.11</w:t>
            </w:r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直流避雷装置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套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2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</w:p>
        </w:tc>
      </w:tr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1.12</w:t>
            </w:r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安装附件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套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2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</w:p>
        </w:tc>
      </w:tr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2</w:t>
            </w:r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阀控式密封铅酸蓄电池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组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2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</w:p>
        </w:tc>
      </w:tr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lastRenderedPageBreak/>
              <w:t>2.1</w:t>
            </w:r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阀控式密封铅酸蓄电池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只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48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</w:p>
        </w:tc>
      </w:tr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2.2</w:t>
            </w:r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专用蓄电池柜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proofErr w:type="gramStart"/>
            <w:r w:rsidRPr="00CD0717">
              <w:rPr>
                <w:color w:val="000000" w:themeColor="text1"/>
                <w:kern w:val="0"/>
                <w:sz w:val="24"/>
                <w:szCs w:val="18"/>
              </w:rPr>
              <w:t>个</w:t>
            </w:r>
            <w:proofErr w:type="gramEnd"/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2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</w:p>
        </w:tc>
      </w:tr>
      <w:tr w:rsidR="002155C0" w:rsidRPr="00CD0717" w:rsidTr="00DC38F4">
        <w:trPr>
          <w:trHeight w:val="284"/>
        </w:trPr>
        <w:tc>
          <w:tcPr>
            <w:tcW w:w="709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2.3</w:t>
            </w:r>
          </w:p>
        </w:tc>
        <w:tc>
          <w:tcPr>
            <w:tcW w:w="4536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安装附件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套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center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:rsidR="002155C0" w:rsidRPr="00CD0717" w:rsidRDefault="002155C0" w:rsidP="00DC38F4">
            <w:pPr>
              <w:widowControl/>
              <w:contextualSpacing/>
              <w:jc w:val="left"/>
              <w:rPr>
                <w:color w:val="000000" w:themeColor="text1"/>
                <w:kern w:val="0"/>
                <w:sz w:val="24"/>
                <w:szCs w:val="18"/>
              </w:rPr>
            </w:pPr>
            <w:r w:rsidRPr="00CD0717">
              <w:rPr>
                <w:color w:val="000000" w:themeColor="text1"/>
                <w:kern w:val="0"/>
                <w:sz w:val="24"/>
                <w:szCs w:val="18"/>
              </w:rPr>
              <w:t>连接铜排、电线及防护板等安装材料</w:t>
            </w:r>
          </w:p>
        </w:tc>
      </w:tr>
    </w:tbl>
    <w:p w:rsidR="00402C09" w:rsidRPr="002155C0" w:rsidRDefault="00402C09"/>
    <w:sectPr w:rsidR="00402C09" w:rsidRPr="002155C0" w:rsidSect="00402C0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155C0"/>
    <w:rsid w:val="002155C0"/>
    <w:rsid w:val="00402C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5C0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2155C0"/>
    <w:pPr>
      <w:widowControl w:val="0"/>
      <w:ind w:left="1134" w:hanging="1134"/>
      <w:jc w:val="both"/>
    </w:pPr>
    <w:rPr>
      <w:rFonts w:ascii="Arial" w:eastAsia="宋体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</Words>
  <Characters>804</Characters>
  <Application>Microsoft Office Word</Application>
  <DocSecurity>0</DocSecurity>
  <Lines>6</Lines>
  <Paragraphs>1</Paragraphs>
  <ScaleCrop>false</ScaleCrop>
  <Company>微软中国</Company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2020-04-13T08:58:00Z</dcterms:created>
  <dcterms:modified xsi:type="dcterms:W3CDTF">2020-04-13T08:58:00Z</dcterms:modified>
</cp:coreProperties>
</file>