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6B4C3">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bookmarkStart w:id="0" w:name="_GoBack"/>
      <w:bookmarkEnd w:id="0"/>
      <w:r>
        <w:rPr>
          <w:rFonts w:hint="eastAsia" w:ascii="宋体" w:hAnsi="宋体" w:eastAsia="宋体" w:cs="宋体"/>
          <w:b/>
          <w:sz w:val="44"/>
          <w:szCs w:val="44"/>
          <w:lang w:val="en-US" w:eastAsia="zh-CN"/>
        </w:rPr>
        <w:t>《兴业银行西宁分行租赁电信运营商机房项目》供应商征集反馈材料-公司名称（全称）</w:t>
      </w:r>
    </w:p>
    <w:p w14:paraId="3DE22073">
      <w:pPr>
        <w:ind w:left="0" w:leftChars="0" w:firstLine="0" w:firstLineChars="0"/>
        <w:jc w:val="center"/>
        <w:rPr>
          <w:rFonts w:hint="eastAsia" w:ascii="仿宋" w:hAnsi="仿宋" w:eastAsia="仿宋"/>
          <w:b/>
          <w:bCs/>
          <w:sz w:val="36"/>
          <w:szCs w:val="36"/>
          <w:lang w:val="en-US" w:eastAsia="zh-CN"/>
        </w:rPr>
      </w:pPr>
    </w:p>
    <w:p w14:paraId="7F3B3FFC">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14:paraId="052381E1">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14:paraId="5725EC91">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14:paraId="74B360BE">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14:paraId="34A74295">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14:paraId="39B1170D">
      <w:pPr>
        <w:pStyle w:val="9"/>
        <w:rPr>
          <w:rFonts w:hint="eastAsia"/>
          <w:lang w:val="en-US" w:eastAsia="zh-CN"/>
        </w:rPr>
      </w:pPr>
    </w:p>
    <w:p w14:paraId="1D61396B">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14:paraId="4B3314D3">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（该部分的“审核事项”列由</w:t>
      </w:r>
      <w:r>
        <w:rPr>
          <w:rFonts w:hint="eastAsia" w:ascii="仿宋" w:hAnsi="仿宋" w:eastAsia="仿宋" w:cs="仿宋"/>
          <w:b w:val="0"/>
          <w:bCs w:val="0"/>
          <w:color w:val="000000" w:themeColor="text1"/>
          <w:sz w:val="32"/>
          <w:szCs w:val="32"/>
          <w:lang w:eastAsia="zh-CN"/>
          <w14:textFill>
            <w14:solidFill>
              <w14:schemeClr w14:val="tx1"/>
            </w14:solidFill>
          </w14:textFill>
        </w:rPr>
        <w:t>需求（统筹管理）部门</w:t>
      </w:r>
      <w:r>
        <w:rPr>
          <w:rFonts w:hint="eastAsia" w:ascii="仿宋" w:hAnsi="仿宋" w:eastAsia="仿宋" w:cs="仿宋"/>
          <w:b w:val="0"/>
          <w:bCs w:val="0"/>
          <w:color w:val="000000" w:themeColor="text1"/>
          <w:sz w:val="32"/>
          <w:szCs w:val="32"/>
          <w14:textFill>
            <w14:solidFill>
              <w14:schemeClr w14:val="tx1"/>
            </w14:solidFill>
          </w14:textFill>
        </w:rPr>
        <w:t>填写，“审核事项”中的各点，请和征集公告文档中的第一和第二部分要求一一对应。“是否满足”和“基本情况说明”列由供应商填写。）</w:t>
      </w:r>
    </w:p>
    <w:tbl>
      <w:tblPr>
        <w:tblStyle w:val="7"/>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0"/>
        <w:gridCol w:w="1550"/>
        <w:gridCol w:w="3963"/>
      </w:tblGrid>
      <w:tr w14:paraId="2ED0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50" w:type="dxa"/>
            <w:vAlign w:val="center"/>
          </w:tcPr>
          <w:p w14:paraId="6A8FFE1D">
            <w:pPr>
              <w:topLinePunct w:val="0"/>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1550" w:type="dxa"/>
            <w:vAlign w:val="center"/>
          </w:tcPr>
          <w:p w14:paraId="0219B591">
            <w:pPr>
              <w:topLinePunct w:val="0"/>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3963" w:type="dxa"/>
            <w:vAlign w:val="center"/>
          </w:tcPr>
          <w:p w14:paraId="60ACB524">
            <w:pPr>
              <w:topLinePunct w:val="0"/>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14:paraId="51E4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14:paraId="18D65E0B">
            <w:pPr>
              <w:topLinePunct w:val="0"/>
              <w:ind w:left="0" w:leftChars="0" w:firstLine="0" w:firstLineChars="0"/>
              <w:jc w:val="left"/>
              <w:rPr>
                <w:rFonts w:hint="default" w:ascii="仿宋" w:hAnsi="仿宋" w:eastAsia="仿宋" w:cs="仿宋"/>
                <w:b/>
                <w:bCs/>
                <w:sz w:val="28"/>
                <w:szCs w:val="28"/>
                <w:lang w:val="en-US" w:eastAsia="zh-CN"/>
              </w:rPr>
            </w:pPr>
            <w:r>
              <w:rPr>
                <w:rFonts w:hint="eastAsia" w:ascii="仿宋" w:hAnsi="仿宋" w:eastAsia="仿宋" w:cs="仿宋"/>
                <w:b/>
                <w:bCs/>
                <w:sz w:val="28"/>
                <w:szCs w:val="28"/>
              </w:rPr>
              <w:t>一、采购需求及资格要求</w:t>
            </w:r>
          </w:p>
        </w:tc>
      </w:tr>
      <w:tr w14:paraId="2203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50" w:type="dxa"/>
            <w:vAlign w:val="center"/>
          </w:tcPr>
          <w:p w14:paraId="696E516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1.2.1 须具备完善的应急预案体系，并根据年度作业计划，定期组织运行维护和应急演练。</w:t>
            </w:r>
          </w:p>
        </w:tc>
        <w:tc>
          <w:tcPr>
            <w:tcW w:w="1550" w:type="dxa"/>
            <w:vAlign w:val="center"/>
          </w:tcPr>
          <w:p w14:paraId="30B316F5">
            <w:pPr>
              <w:topLinePunct w:val="0"/>
              <w:ind w:firstLine="560" w:firstLineChars="200"/>
              <w:rPr>
                <w:rFonts w:hint="default" w:ascii="仿宋" w:hAnsi="仿宋" w:eastAsia="仿宋" w:cs="仿宋"/>
                <w:sz w:val="28"/>
                <w:szCs w:val="28"/>
                <w:lang w:val="en-US" w:eastAsia="zh-CN"/>
              </w:rPr>
            </w:pPr>
          </w:p>
        </w:tc>
        <w:tc>
          <w:tcPr>
            <w:tcW w:w="3963" w:type="dxa"/>
            <w:vAlign w:val="center"/>
          </w:tcPr>
          <w:p w14:paraId="4F73CB26">
            <w:pPr>
              <w:topLinePunct w:val="0"/>
              <w:ind w:firstLine="560" w:firstLineChars="200"/>
              <w:rPr>
                <w:rFonts w:hint="eastAsia" w:ascii="仿宋" w:hAnsi="仿宋" w:eastAsia="仿宋" w:cs="仿宋"/>
                <w:sz w:val="28"/>
                <w:szCs w:val="28"/>
              </w:rPr>
            </w:pPr>
          </w:p>
        </w:tc>
      </w:tr>
      <w:tr w14:paraId="34B9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50" w:type="dxa"/>
            <w:vAlign w:val="center"/>
          </w:tcPr>
          <w:p w14:paraId="2688857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1.2.2 IDC机房抗震设防烈度达到8度标准，具备不少于两条市电引入线路。配备柴油发电机作为后备电源，燃油储备量满足不低于10小时的供电需求，并确保在市电中断时优先为我行提供电力供应，保障我行租赁机柜供电的连续性。</w:t>
            </w:r>
          </w:p>
        </w:tc>
        <w:tc>
          <w:tcPr>
            <w:tcW w:w="1550" w:type="dxa"/>
            <w:vAlign w:val="center"/>
          </w:tcPr>
          <w:p w14:paraId="7142434E">
            <w:pPr>
              <w:topLinePunct w:val="0"/>
              <w:ind w:firstLine="560" w:firstLineChars="200"/>
              <w:rPr>
                <w:rFonts w:hint="default" w:ascii="仿宋" w:hAnsi="仿宋" w:eastAsia="仿宋" w:cs="仿宋"/>
                <w:sz w:val="28"/>
                <w:szCs w:val="28"/>
                <w:lang w:val="en-US" w:eastAsia="zh-CN"/>
              </w:rPr>
            </w:pPr>
          </w:p>
        </w:tc>
        <w:tc>
          <w:tcPr>
            <w:tcW w:w="3963" w:type="dxa"/>
            <w:vAlign w:val="center"/>
          </w:tcPr>
          <w:p w14:paraId="70585C84">
            <w:pPr>
              <w:topLinePunct w:val="0"/>
              <w:ind w:firstLine="560" w:firstLineChars="200"/>
              <w:rPr>
                <w:rFonts w:hint="eastAsia" w:ascii="仿宋" w:hAnsi="仿宋" w:eastAsia="仿宋" w:cs="仿宋"/>
                <w:sz w:val="28"/>
                <w:szCs w:val="28"/>
              </w:rPr>
            </w:pPr>
          </w:p>
        </w:tc>
      </w:tr>
      <w:tr w14:paraId="0BF1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50" w:type="dxa"/>
            <w:vAlign w:val="center"/>
          </w:tcPr>
          <w:p w14:paraId="0185F8B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1.2.3 具备支持其他运营商线路双路由接入的能力。</w:t>
            </w:r>
          </w:p>
        </w:tc>
        <w:tc>
          <w:tcPr>
            <w:tcW w:w="1550" w:type="dxa"/>
            <w:vAlign w:val="center"/>
          </w:tcPr>
          <w:p w14:paraId="597C9211">
            <w:pPr>
              <w:topLinePunct w:val="0"/>
              <w:ind w:firstLine="560" w:firstLineChars="200"/>
              <w:rPr>
                <w:rFonts w:hint="default" w:ascii="仿宋" w:hAnsi="仿宋" w:eastAsia="仿宋" w:cs="仿宋"/>
                <w:sz w:val="28"/>
                <w:szCs w:val="28"/>
                <w:lang w:val="en-US" w:eastAsia="zh-CN"/>
              </w:rPr>
            </w:pPr>
          </w:p>
        </w:tc>
        <w:tc>
          <w:tcPr>
            <w:tcW w:w="3963" w:type="dxa"/>
            <w:vAlign w:val="center"/>
          </w:tcPr>
          <w:p w14:paraId="5B551BBF">
            <w:pPr>
              <w:topLinePunct w:val="0"/>
              <w:ind w:firstLine="560" w:firstLineChars="200"/>
              <w:rPr>
                <w:rFonts w:hint="eastAsia" w:ascii="仿宋" w:hAnsi="仿宋" w:eastAsia="仿宋" w:cs="仿宋"/>
                <w:sz w:val="28"/>
                <w:szCs w:val="28"/>
              </w:rPr>
            </w:pPr>
          </w:p>
        </w:tc>
      </w:tr>
      <w:tr w14:paraId="055D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50" w:type="dxa"/>
            <w:vAlign w:val="center"/>
          </w:tcPr>
          <w:p w14:paraId="4360C60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1.3.1  需达到A级机房标准，须取得互联网数据中心业务经营许可证（IDC许可证）。</w:t>
            </w:r>
          </w:p>
        </w:tc>
        <w:tc>
          <w:tcPr>
            <w:tcW w:w="1550" w:type="dxa"/>
            <w:vAlign w:val="center"/>
          </w:tcPr>
          <w:p w14:paraId="4F2F75F9">
            <w:pPr>
              <w:topLinePunct w:val="0"/>
              <w:ind w:firstLine="560" w:firstLineChars="200"/>
              <w:rPr>
                <w:rFonts w:hint="default" w:ascii="仿宋" w:hAnsi="仿宋" w:eastAsia="仿宋" w:cs="仿宋"/>
                <w:sz w:val="28"/>
                <w:szCs w:val="28"/>
                <w:lang w:val="en-US" w:eastAsia="zh-CN"/>
              </w:rPr>
            </w:pPr>
          </w:p>
        </w:tc>
        <w:tc>
          <w:tcPr>
            <w:tcW w:w="3963" w:type="dxa"/>
            <w:vAlign w:val="center"/>
          </w:tcPr>
          <w:p w14:paraId="4EDDA57C">
            <w:pPr>
              <w:topLinePunct w:val="0"/>
              <w:ind w:firstLine="560" w:firstLineChars="200"/>
              <w:rPr>
                <w:rFonts w:hint="eastAsia" w:ascii="仿宋" w:hAnsi="仿宋" w:eastAsia="仿宋" w:cs="仿宋"/>
                <w:sz w:val="28"/>
                <w:szCs w:val="28"/>
              </w:rPr>
            </w:pPr>
          </w:p>
        </w:tc>
      </w:tr>
      <w:tr w14:paraId="5758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50" w:type="dxa"/>
            <w:vAlign w:val="center"/>
          </w:tcPr>
          <w:p w14:paraId="751C380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1.3.2  通过信息技术服务管理体系认证。</w:t>
            </w:r>
          </w:p>
        </w:tc>
        <w:tc>
          <w:tcPr>
            <w:tcW w:w="1550" w:type="dxa"/>
            <w:vAlign w:val="center"/>
          </w:tcPr>
          <w:p w14:paraId="148D7DFA">
            <w:pPr>
              <w:topLinePunct w:val="0"/>
              <w:ind w:firstLine="560" w:firstLineChars="200"/>
              <w:rPr>
                <w:rFonts w:hint="default" w:ascii="仿宋" w:hAnsi="仿宋" w:eastAsia="仿宋" w:cs="仿宋"/>
                <w:sz w:val="28"/>
                <w:szCs w:val="28"/>
                <w:lang w:val="en-US" w:eastAsia="zh-CN"/>
              </w:rPr>
            </w:pPr>
          </w:p>
        </w:tc>
        <w:tc>
          <w:tcPr>
            <w:tcW w:w="3963" w:type="dxa"/>
            <w:vAlign w:val="center"/>
          </w:tcPr>
          <w:p w14:paraId="6F4F92D4">
            <w:pPr>
              <w:topLinePunct w:val="0"/>
              <w:ind w:firstLine="560" w:firstLineChars="200"/>
              <w:rPr>
                <w:rFonts w:hint="eastAsia" w:ascii="仿宋" w:hAnsi="仿宋" w:eastAsia="仿宋" w:cs="仿宋"/>
                <w:sz w:val="28"/>
                <w:szCs w:val="28"/>
              </w:rPr>
            </w:pPr>
          </w:p>
        </w:tc>
      </w:tr>
      <w:tr w14:paraId="1E05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50" w:type="dxa"/>
            <w:vAlign w:val="center"/>
          </w:tcPr>
          <w:p w14:paraId="6214CB5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1.3.3  企业成立1年以上，近三年财务稳健，可稳定提供服务。</w:t>
            </w:r>
          </w:p>
        </w:tc>
        <w:tc>
          <w:tcPr>
            <w:tcW w:w="1550" w:type="dxa"/>
            <w:vAlign w:val="center"/>
          </w:tcPr>
          <w:p w14:paraId="4B248E6B">
            <w:pPr>
              <w:topLinePunct w:val="0"/>
              <w:ind w:firstLine="560" w:firstLineChars="200"/>
              <w:rPr>
                <w:rFonts w:hint="default" w:ascii="仿宋" w:hAnsi="仿宋" w:eastAsia="仿宋" w:cs="仿宋"/>
                <w:sz w:val="28"/>
                <w:szCs w:val="28"/>
                <w:lang w:val="en-US" w:eastAsia="zh-CN"/>
              </w:rPr>
            </w:pPr>
          </w:p>
        </w:tc>
        <w:tc>
          <w:tcPr>
            <w:tcW w:w="3963" w:type="dxa"/>
            <w:vAlign w:val="center"/>
          </w:tcPr>
          <w:p w14:paraId="46E07C4A">
            <w:pPr>
              <w:topLinePunct w:val="0"/>
              <w:ind w:firstLine="560" w:firstLineChars="200"/>
              <w:rPr>
                <w:rFonts w:hint="eastAsia" w:ascii="仿宋" w:hAnsi="仿宋" w:eastAsia="仿宋" w:cs="仿宋"/>
                <w:sz w:val="28"/>
                <w:szCs w:val="28"/>
              </w:rPr>
            </w:pPr>
          </w:p>
        </w:tc>
      </w:tr>
      <w:tr w14:paraId="67E3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50" w:type="dxa"/>
            <w:vAlign w:val="center"/>
          </w:tcPr>
          <w:p w14:paraId="2C677DA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1.3.4  具有包括但不限于2021年至今与六大国有银行及十二家全国性股份制银行的与本项目相似的成功案例。</w:t>
            </w:r>
          </w:p>
        </w:tc>
        <w:tc>
          <w:tcPr>
            <w:tcW w:w="1550" w:type="dxa"/>
            <w:vAlign w:val="center"/>
          </w:tcPr>
          <w:p w14:paraId="0E0B497D">
            <w:pPr>
              <w:topLinePunct w:val="0"/>
              <w:ind w:firstLine="560" w:firstLineChars="200"/>
              <w:rPr>
                <w:rFonts w:hint="default" w:ascii="仿宋" w:hAnsi="仿宋" w:eastAsia="仿宋" w:cs="仿宋"/>
                <w:sz w:val="28"/>
                <w:szCs w:val="28"/>
                <w:lang w:val="en-US" w:eastAsia="zh-CN"/>
              </w:rPr>
            </w:pPr>
          </w:p>
        </w:tc>
        <w:tc>
          <w:tcPr>
            <w:tcW w:w="3963" w:type="dxa"/>
            <w:vAlign w:val="center"/>
          </w:tcPr>
          <w:p w14:paraId="55748EF2">
            <w:pPr>
              <w:topLinePunct w:val="0"/>
              <w:ind w:firstLine="560" w:firstLineChars="200"/>
              <w:rPr>
                <w:rFonts w:hint="eastAsia" w:ascii="仿宋" w:hAnsi="仿宋" w:eastAsia="仿宋" w:cs="仿宋"/>
                <w:sz w:val="28"/>
                <w:szCs w:val="28"/>
              </w:rPr>
            </w:pPr>
          </w:p>
        </w:tc>
      </w:tr>
      <w:tr w14:paraId="1B7E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50" w:type="dxa"/>
            <w:vAlign w:val="center"/>
          </w:tcPr>
          <w:p w14:paraId="5D5E485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1.4.1 我行所租赁的区域为单独的模块空间，不得有与我行无关的其他设备。</w:t>
            </w:r>
          </w:p>
        </w:tc>
        <w:tc>
          <w:tcPr>
            <w:tcW w:w="1550" w:type="dxa"/>
            <w:vAlign w:val="center"/>
          </w:tcPr>
          <w:p w14:paraId="4016E708">
            <w:pPr>
              <w:topLinePunct w:val="0"/>
              <w:ind w:firstLine="560" w:firstLineChars="200"/>
              <w:rPr>
                <w:rFonts w:hint="default" w:ascii="仿宋" w:hAnsi="仿宋" w:eastAsia="仿宋" w:cs="仿宋"/>
                <w:sz w:val="28"/>
                <w:szCs w:val="28"/>
                <w:lang w:val="en-US" w:eastAsia="zh-CN"/>
              </w:rPr>
            </w:pPr>
          </w:p>
        </w:tc>
        <w:tc>
          <w:tcPr>
            <w:tcW w:w="3963" w:type="dxa"/>
            <w:vAlign w:val="center"/>
          </w:tcPr>
          <w:p w14:paraId="4F1EEF52">
            <w:pPr>
              <w:topLinePunct w:val="0"/>
              <w:ind w:firstLine="560" w:firstLineChars="200"/>
              <w:rPr>
                <w:rFonts w:hint="eastAsia" w:ascii="仿宋" w:hAnsi="仿宋" w:eastAsia="仿宋" w:cs="仿宋"/>
                <w:sz w:val="28"/>
                <w:szCs w:val="28"/>
              </w:rPr>
            </w:pPr>
          </w:p>
        </w:tc>
      </w:tr>
      <w:tr w14:paraId="0140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50" w:type="dxa"/>
            <w:vAlign w:val="center"/>
          </w:tcPr>
          <w:p w14:paraId="0330F3F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1.4.2 我行所租赁的区域周边允许部署必要的监控设备、防入侵设备等环控设备；</w:t>
            </w:r>
          </w:p>
        </w:tc>
        <w:tc>
          <w:tcPr>
            <w:tcW w:w="1550" w:type="dxa"/>
            <w:vAlign w:val="center"/>
          </w:tcPr>
          <w:p w14:paraId="0AD98E08">
            <w:pPr>
              <w:topLinePunct w:val="0"/>
              <w:ind w:firstLine="560" w:firstLineChars="200"/>
              <w:rPr>
                <w:rFonts w:hint="default" w:ascii="仿宋" w:hAnsi="仿宋" w:eastAsia="仿宋" w:cs="仿宋"/>
                <w:sz w:val="28"/>
                <w:szCs w:val="28"/>
                <w:lang w:val="en-US" w:eastAsia="zh-CN"/>
              </w:rPr>
            </w:pPr>
          </w:p>
        </w:tc>
        <w:tc>
          <w:tcPr>
            <w:tcW w:w="3963" w:type="dxa"/>
            <w:vAlign w:val="center"/>
          </w:tcPr>
          <w:p w14:paraId="5078AC96">
            <w:pPr>
              <w:topLinePunct w:val="0"/>
              <w:ind w:firstLine="560" w:firstLineChars="200"/>
              <w:rPr>
                <w:rFonts w:hint="eastAsia" w:ascii="仿宋" w:hAnsi="仿宋" w:eastAsia="仿宋" w:cs="仿宋"/>
                <w:sz w:val="28"/>
                <w:szCs w:val="28"/>
              </w:rPr>
            </w:pPr>
          </w:p>
        </w:tc>
      </w:tr>
      <w:tr w14:paraId="60EF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50" w:type="dxa"/>
            <w:vAlign w:val="center"/>
          </w:tcPr>
          <w:p w14:paraId="34DB8B9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1.4.3 我行所租赁的机柜允许更换锁芯，模块空间设置独立门禁和密码；</w:t>
            </w:r>
          </w:p>
        </w:tc>
        <w:tc>
          <w:tcPr>
            <w:tcW w:w="1550" w:type="dxa"/>
            <w:vAlign w:val="center"/>
          </w:tcPr>
          <w:p w14:paraId="05699E9E">
            <w:pPr>
              <w:topLinePunct w:val="0"/>
              <w:ind w:firstLine="560" w:firstLineChars="200"/>
              <w:rPr>
                <w:rFonts w:hint="default" w:ascii="仿宋" w:hAnsi="仿宋" w:eastAsia="仿宋" w:cs="仿宋"/>
                <w:sz w:val="28"/>
                <w:szCs w:val="28"/>
                <w:lang w:val="en-US" w:eastAsia="zh-CN"/>
              </w:rPr>
            </w:pPr>
          </w:p>
        </w:tc>
        <w:tc>
          <w:tcPr>
            <w:tcW w:w="3963" w:type="dxa"/>
            <w:vAlign w:val="center"/>
          </w:tcPr>
          <w:p w14:paraId="28117295">
            <w:pPr>
              <w:topLinePunct w:val="0"/>
              <w:ind w:firstLine="560" w:firstLineChars="200"/>
              <w:rPr>
                <w:rFonts w:hint="eastAsia" w:ascii="仿宋" w:hAnsi="仿宋" w:eastAsia="仿宋" w:cs="仿宋"/>
                <w:sz w:val="28"/>
                <w:szCs w:val="28"/>
              </w:rPr>
            </w:pPr>
          </w:p>
        </w:tc>
      </w:tr>
      <w:tr w14:paraId="3BA6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50" w:type="dxa"/>
            <w:vAlign w:val="center"/>
          </w:tcPr>
          <w:p w14:paraId="112C952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1.4.4 允许兴业银行维护人员7*24小时随时进入我行所租赁机柜区域，合同签订后，需给我行维护人员办理出入门禁卡（或出入证、长期介绍信），租赁方在核验身份信息和门禁卡（或出入证、长期介绍信）无误后，立即允许我行维护人员进入我行所租赁区域，不得有任何理由（包括且不限于重保、重大节假日）限制我行出入所租赁区域；</w:t>
            </w:r>
          </w:p>
        </w:tc>
        <w:tc>
          <w:tcPr>
            <w:tcW w:w="1550" w:type="dxa"/>
            <w:vAlign w:val="center"/>
          </w:tcPr>
          <w:p w14:paraId="6081B141">
            <w:pPr>
              <w:topLinePunct w:val="0"/>
              <w:ind w:firstLine="560" w:firstLineChars="200"/>
              <w:rPr>
                <w:rFonts w:hint="default" w:ascii="仿宋" w:hAnsi="仿宋" w:eastAsia="仿宋" w:cs="仿宋"/>
                <w:sz w:val="28"/>
                <w:szCs w:val="28"/>
                <w:lang w:val="en-US" w:eastAsia="zh-CN"/>
              </w:rPr>
            </w:pPr>
          </w:p>
        </w:tc>
        <w:tc>
          <w:tcPr>
            <w:tcW w:w="3963" w:type="dxa"/>
            <w:vAlign w:val="center"/>
          </w:tcPr>
          <w:p w14:paraId="0064AA10">
            <w:pPr>
              <w:topLinePunct w:val="0"/>
              <w:ind w:firstLine="560" w:firstLineChars="200"/>
              <w:rPr>
                <w:rFonts w:hint="eastAsia" w:ascii="仿宋" w:hAnsi="仿宋" w:eastAsia="仿宋" w:cs="仿宋"/>
                <w:sz w:val="28"/>
                <w:szCs w:val="28"/>
              </w:rPr>
            </w:pPr>
          </w:p>
        </w:tc>
      </w:tr>
      <w:tr w14:paraId="342A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14:paraId="09741B79">
            <w:pPr>
              <w:topLinePunct w:val="0"/>
              <w:rPr>
                <w:rFonts w:hint="eastAsia" w:ascii="仿宋" w:hAnsi="仿宋" w:eastAsia="仿宋" w:cs="仿宋"/>
                <w:sz w:val="28"/>
                <w:szCs w:val="28"/>
              </w:rPr>
            </w:pPr>
            <w:r>
              <w:rPr>
                <w:rFonts w:hint="eastAsia" w:ascii="仿宋" w:hAnsi="仿宋" w:eastAsia="仿宋" w:cs="仿宋"/>
                <w:b/>
                <w:bCs/>
                <w:sz w:val="28"/>
                <w:szCs w:val="28"/>
                <w:lang w:val="en-US" w:eastAsia="zh-CN"/>
              </w:rPr>
              <w:t>二、报名要求</w:t>
            </w:r>
          </w:p>
        </w:tc>
      </w:tr>
      <w:tr w14:paraId="4CD5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50" w:type="dxa"/>
            <w:vAlign w:val="center"/>
          </w:tcPr>
          <w:p w14:paraId="6ADFD95E">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2.1  依法成立，为存续、在营、开业、在册、登记成立等正常企业状态。</w:t>
            </w:r>
          </w:p>
        </w:tc>
        <w:tc>
          <w:tcPr>
            <w:tcW w:w="1550" w:type="dxa"/>
            <w:vAlign w:val="center"/>
          </w:tcPr>
          <w:p w14:paraId="5C5FA8E6">
            <w:pPr>
              <w:topLinePunct w:val="0"/>
              <w:ind w:firstLine="560" w:firstLineChars="200"/>
              <w:rPr>
                <w:rFonts w:hint="eastAsia" w:ascii="仿宋" w:hAnsi="仿宋" w:eastAsia="仿宋" w:cs="仿宋"/>
                <w:sz w:val="28"/>
                <w:szCs w:val="28"/>
              </w:rPr>
            </w:pPr>
          </w:p>
        </w:tc>
        <w:tc>
          <w:tcPr>
            <w:tcW w:w="3963" w:type="dxa"/>
            <w:vAlign w:val="center"/>
          </w:tcPr>
          <w:p w14:paraId="18FBBE35">
            <w:pPr>
              <w:topLinePunct w:val="0"/>
              <w:ind w:firstLine="560" w:firstLineChars="200"/>
              <w:rPr>
                <w:rFonts w:hint="eastAsia" w:ascii="仿宋" w:hAnsi="仿宋" w:eastAsia="仿宋" w:cs="仿宋"/>
                <w:sz w:val="28"/>
                <w:szCs w:val="28"/>
              </w:rPr>
            </w:pPr>
          </w:p>
        </w:tc>
      </w:tr>
      <w:tr w14:paraId="1459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50" w:type="dxa"/>
            <w:vAlign w:val="center"/>
          </w:tcPr>
          <w:p w14:paraId="27CE0526">
            <w:pPr>
              <w:pStyle w:val="11"/>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2.2  在兴业银行西宁分行开立对公账户，若中标本项目，则通过兴业银行西宁分行对公账户结算该项目相关费用。</w:t>
            </w:r>
          </w:p>
        </w:tc>
        <w:tc>
          <w:tcPr>
            <w:tcW w:w="1550" w:type="dxa"/>
            <w:vAlign w:val="center"/>
          </w:tcPr>
          <w:p w14:paraId="517525B8">
            <w:pPr>
              <w:topLinePunct w:val="0"/>
              <w:ind w:firstLine="560" w:firstLineChars="200"/>
              <w:rPr>
                <w:rFonts w:hint="eastAsia" w:ascii="仿宋" w:hAnsi="仿宋" w:eastAsia="仿宋" w:cs="仿宋"/>
                <w:sz w:val="28"/>
                <w:szCs w:val="28"/>
              </w:rPr>
            </w:pPr>
          </w:p>
        </w:tc>
        <w:tc>
          <w:tcPr>
            <w:tcW w:w="3963" w:type="dxa"/>
            <w:vAlign w:val="center"/>
          </w:tcPr>
          <w:p w14:paraId="349643E6">
            <w:pPr>
              <w:topLinePunct w:val="0"/>
              <w:ind w:firstLine="560" w:firstLineChars="200"/>
              <w:rPr>
                <w:rFonts w:hint="eastAsia" w:ascii="仿宋" w:hAnsi="仿宋" w:eastAsia="仿宋" w:cs="仿宋"/>
                <w:sz w:val="28"/>
                <w:szCs w:val="28"/>
              </w:rPr>
            </w:pPr>
          </w:p>
        </w:tc>
      </w:tr>
      <w:tr w14:paraId="7C12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50" w:type="dxa"/>
            <w:vAlign w:val="center"/>
          </w:tcPr>
          <w:p w14:paraId="07E3982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2.3  充分理解我行服务需求并能够根据需求提供相应的服务。</w:t>
            </w:r>
          </w:p>
        </w:tc>
        <w:tc>
          <w:tcPr>
            <w:tcW w:w="1550" w:type="dxa"/>
            <w:vAlign w:val="center"/>
          </w:tcPr>
          <w:p w14:paraId="3BDFD049">
            <w:pPr>
              <w:topLinePunct w:val="0"/>
              <w:ind w:firstLine="560" w:firstLineChars="200"/>
              <w:rPr>
                <w:rFonts w:hint="eastAsia" w:ascii="仿宋" w:hAnsi="仿宋" w:eastAsia="仿宋" w:cs="仿宋"/>
                <w:sz w:val="28"/>
                <w:szCs w:val="28"/>
              </w:rPr>
            </w:pPr>
          </w:p>
        </w:tc>
        <w:tc>
          <w:tcPr>
            <w:tcW w:w="3963" w:type="dxa"/>
            <w:vAlign w:val="center"/>
          </w:tcPr>
          <w:p w14:paraId="3D91D0AB">
            <w:pPr>
              <w:topLinePunct w:val="0"/>
              <w:ind w:firstLine="560" w:firstLineChars="200"/>
              <w:rPr>
                <w:rFonts w:hint="eastAsia" w:ascii="仿宋" w:hAnsi="仿宋" w:eastAsia="仿宋" w:cs="仿宋"/>
                <w:sz w:val="28"/>
                <w:szCs w:val="28"/>
              </w:rPr>
            </w:pPr>
          </w:p>
        </w:tc>
      </w:tr>
      <w:tr w14:paraId="1555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50" w:type="dxa"/>
            <w:vAlign w:val="center"/>
          </w:tcPr>
          <w:p w14:paraId="0557A33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2.4  具有良好的商业</w:t>
            </w:r>
            <w:r>
              <w:rPr>
                <w:rFonts w:hint="eastAsia" w:ascii="仿宋" w:hAnsi="仿宋" w:eastAsia="仿宋" w:cs="仿宋"/>
                <w:kern w:val="2"/>
                <w:sz w:val="21"/>
                <w:szCs w:val="21"/>
                <w:lang w:val="en-US" w:eastAsia="zh-CN" w:bidi="ar-SA"/>
              </w:rPr>
              <w:fldChar w:fldCharType="begin"/>
            </w:r>
            <w:r>
              <w:rPr>
                <w:rFonts w:hint="eastAsia" w:ascii="仿宋" w:hAnsi="仿宋" w:eastAsia="仿宋" w:cs="仿宋"/>
                <w:kern w:val="2"/>
                <w:sz w:val="21"/>
                <w:szCs w:val="21"/>
                <w:lang w:val="en-US" w:eastAsia="zh-CN" w:bidi="ar-SA"/>
              </w:rPr>
              <w:instrText xml:space="preserve"> HYPERLINK "javascript:creditChatClick('%E4%BF%A1%E8%AA%89')" </w:instrText>
            </w:r>
            <w:r>
              <w:rPr>
                <w:rFonts w:hint="eastAsia" w:ascii="仿宋" w:hAnsi="仿宋" w:eastAsia="仿宋" w:cs="仿宋"/>
                <w:kern w:val="2"/>
                <w:sz w:val="21"/>
                <w:szCs w:val="21"/>
                <w:lang w:val="en-US" w:eastAsia="zh-CN" w:bidi="ar-SA"/>
              </w:rPr>
              <w:fldChar w:fldCharType="separate"/>
            </w:r>
            <w:r>
              <w:rPr>
                <w:rFonts w:hint="eastAsia" w:ascii="仿宋" w:hAnsi="仿宋" w:eastAsia="仿宋" w:cs="仿宋"/>
                <w:kern w:val="2"/>
                <w:sz w:val="21"/>
                <w:szCs w:val="21"/>
                <w:lang w:val="en-US" w:eastAsia="zh-CN" w:bidi="ar-SA"/>
              </w:rPr>
              <w:t>信誉</w:t>
            </w:r>
            <w:r>
              <w:rPr>
                <w:rFonts w:hint="eastAsia" w:ascii="仿宋" w:hAnsi="仿宋" w:eastAsia="仿宋" w:cs="仿宋"/>
                <w:kern w:val="2"/>
                <w:sz w:val="21"/>
                <w:szCs w:val="21"/>
                <w:lang w:val="en-US" w:eastAsia="zh-CN" w:bidi="ar-SA"/>
              </w:rPr>
              <w:fldChar w:fldCharType="end"/>
            </w:r>
            <w:r>
              <w:rPr>
                <w:rFonts w:hint="eastAsia" w:ascii="仿宋" w:hAnsi="仿宋" w:eastAsia="仿宋" w:cs="仿宋"/>
                <w:kern w:val="2"/>
                <w:sz w:val="21"/>
                <w:szCs w:val="21"/>
                <w:lang w:val="en-US" w:eastAsia="zh-CN" w:bidi="ar-SA"/>
              </w:rPr>
              <w:t>和财务情况。</w:t>
            </w:r>
          </w:p>
        </w:tc>
        <w:tc>
          <w:tcPr>
            <w:tcW w:w="1550" w:type="dxa"/>
            <w:vAlign w:val="center"/>
          </w:tcPr>
          <w:p w14:paraId="267003CF">
            <w:pPr>
              <w:topLinePunct w:val="0"/>
              <w:ind w:firstLine="560" w:firstLineChars="200"/>
              <w:rPr>
                <w:rFonts w:hint="eastAsia" w:ascii="仿宋" w:hAnsi="仿宋" w:eastAsia="仿宋" w:cs="仿宋"/>
                <w:sz w:val="28"/>
                <w:szCs w:val="28"/>
              </w:rPr>
            </w:pPr>
          </w:p>
        </w:tc>
        <w:tc>
          <w:tcPr>
            <w:tcW w:w="3963" w:type="dxa"/>
            <w:vAlign w:val="center"/>
          </w:tcPr>
          <w:p w14:paraId="399DD7BF">
            <w:pPr>
              <w:topLinePunct w:val="0"/>
              <w:ind w:firstLine="560" w:firstLineChars="200"/>
              <w:rPr>
                <w:rFonts w:hint="eastAsia" w:ascii="仿宋" w:hAnsi="仿宋" w:eastAsia="仿宋" w:cs="仿宋"/>
                <w:sz w:val="28"/>
                <w:szCs w:val="28"/>
              </w:rPr>
            </w:pPr>
          </w:p>
        </w:tc>
      </w:tr>
      <w:tr w14:paraId="189F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50" w:type="dxa"/>
            <w:vAlign w:val="center"/>
          </w:tcPr>
          <w:p w14:paraId="3341BE73">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2.5  依法缴纳税收和社会保障资金。</w:t>
            </w:r>
          </w:p>
        </w:tc>
        <w:tc>
          <w:tcPr>
            <w:tcW w:w="1550" w:type="dxa"/>
            <w:vAlign w:val="center"/>
          </w:tcPr>
          <w:p w14:paraId="06DEA696">
            <w:pPr>
              <w:topLinePunct w:val="0"/>
              <w:ind w:firstLine="560" w:firstLineChars="200"/>
              <w:rPr>
                <w:rFonts w:hint="eastAsia" w:ascii="仿宋" w:hAnsi="仿宋" w:eastAsia="仿宋" w:cs="仿宋"/>
                <w:sz w:val="28"/>
                <w:szCs w:val="28"/>
              </w:rPr>
            </w:pPr>
          </w:p>
        </w:tc>
        <w:tc>
          <w:tcPr>
            <w:tcW w:w="3963" w:type="dxa"/>
            <w:vAlign w:val="center"/>
          </w:tcPr>
          <w:p w14:paraId="59E214C3">
            <w:pPr>
              <w:topLinePunct w:val="0"/>
              <w:ind w:firstLine="560" w:firstLineChars="200"/>
              <w:rPr>
                <w:rFonts w:hint="eastAsia" w:ascii="仿宋" w:hAnsi="仿宋" w:eastAsia="仿宋" w:cs="仿宋"/>
                <w:sz w:val="28"/>
                <w:szCs w:val="28"/>
              </w:rPr>
            </w:pPr>
          </w:p>
        </w:tc>
      </w:tr>
      <w:tr w14:paraId="5DD4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50" w:type="dxa"/>
            <w:vAlign w:val="center"/>
          </w:tcPr>
          <w:p w14:paraId="1BF04A2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2.6  未被“</w:t>
            </w:r>
            <w:r>
              <w:rPr>
                <w:rFonts w:hint="eastAsia" w:ascii="仿宋" w:hAnsi="仿宋" w:eastAsia="仿宋" w:cs="仿宋"/>
                <w:kern w:val="2"/>
                <w:sz w:val="21"/>
                <w:szCs w:val="21"/>
                <w:lang w:val="en-US" w:eastAsia="zh-CN" w:bidi="ar-SA"/>
              </w:rPr>
              <w:fldChar w:fldCharType="begin"/>
            </w:r>
            <w:r>
              <w:rPr>
                <w:rFonts w:hint="eastAsia" w:ascii="仿宋" w:hAnsi="仿宋" w:eastAsia="仿宋" w:cs="仿宋"/>
                <w:kern w:val="2"/>
                <w:sz w:val="21"/>
                <w:szCs w:val="21"/>
                <w:lang w:val="en-US" w:eastAsia="zh-CN" w:bidi="ar-SA"/>
              </w:rPr>
              <w:instrText xml:space="preserve"> HYPERLINK "javascript:creditChatClick('%E4%BF%A1%E7%94%A8')" </w:instrText>
            </w:r>
            <w:r>
              <w:rPr>
                <w:rFonts w:hint="eastAsia" w:ascii="仿宋" w:hAnsi="仿宋" w:eastAsia="仿宋" w:cs="仿宋"/>
                <w:kern w:val="2"/>
                <w:sz w:val="21"/>
                <w:szCs w:val="21"/>
                <w:lang w:val="en-US" w:eastAsia="zh-CN" w:bidi="ar-SA"/>
              </w:rPr>
              <w:fldChar w:fldCharType="separate"/>
            </w:r>
            <w:r>
              <w:rPr>
                <w:rFonts w:hint="eastAsia" w:ascii="仿宋" w:hAnsi="仿宋" w:eastAsia="仿宋" w:cs="仿宋"/>
                <w:kern w:val="2"/>
                <w:sz w:val="21"/>
                <w:szCs w:val="21"/>
                <w:lang w:val="en-US" w:eastAsia="zh-CN" w:bidi="ar-SA"/>
              </w:rPr>
              <w:t>信用</w:t>
            </w:r>
            <w:r>
              <w:rPr>
                <w:rFonts w:hint="eastAsia" w:ascii="仿宋" w:hAnsi="仿宋" w:eastAsia="仿宋" w:cs="仿宋"/>
                <w:kern w:val="2"/>
                <w:sz w:val="21"/>
                <w:szCs w:val="21"/>
                <w:lang w:val="en-US" w:eastAsia="zh-CN" w:bidi="ar-SA"/>
              </w:rPr>
              <w:fldChar w:fldCharType="end"/>
            </w:r>
            <w:r>
              <w:rPr>
                <w:rFonts w:hint="eastAsia" w:ascii="仿宋" w:hAnsi="仿宋" w:eastAsia="仿宋" w:cs="仿宋"/>
                <w:kern w:val="2"/>
                <w:sz w:val="21"/>
                <w:szCs w:val="21"/>
                <w:lang w:val="en-US" w:eastAsia="zh-CN" w:bidi="ar-SA"/>
              </w:rPr>
              <w:t>中国”网列入“重大税收违法案件当事人名单”、未被“中国执行信息公开网”列入“</w:t>
            </w:r>
            <w:r>
              <w:rPr>
                <w:rFonts w:hint="eastAsia" w:ascii="仿宋" w:hAnsi="仿宋" w:eastAsia="仿宋" w:cs="仿宋"/>
                <w:kern w:val="2"/>
                <w:sz w:val="21"/>
                <w:szCs w:val="21"/>
                <w:lang w:val="en-US" w:eastAsia="zh-CN" w:bidi="ar-SA"/>
              </w:rPr>
              <w:fldChar w:fldCharType="begin"/>
            </w:r>
            <w:r>
              <w:rPr>
                <w:rFonts w:hint="eastAsia" w:ascii="仿宋" w:hAnsi="仿宋" w:eastAsia="仿宋" w:cs="仿宋"/>
                <w:kern w:val="2"/>
                <w:sz w:val="21"/>
                <w:szCs w:val="21"/>
                <w:lang w:val="en-US" w:eastAsia="zh-CN" w:bidi="ar-SA"/>
              </w:rPr>
              <w:instrText xml:space="preserve"> HYPERLINK "javascript:creditChatClick('%E5%A4%B1%E4%BF%A1')" </w:instrText>
            </w:r>
            <w:r>
              <w:rPr>
                <w:rFonts w:hint="eastAsia" w:ascii="仿宋" w:hAnsi="仿宋" w:eastAsia="仿宋" w:cs="仿宋"/>
                <w:kern w:val="2"/>
                <w:sz w:val="21"/>
                <w:szCs w:val="21"/>
                <w:lang w:val="en-US" w:eastAsia="zh-CN" w:bidi="ar-SA"/>
              </w:rPr>
              <w:fldChar w:fldCharType="separate"/>
            </w:r>
            <w:r>
              <w:rPr>
                <w:rFonts w:hint="eastAsia" w:ascii="仿宋" w:hAnsi="仿宋" w:eastAsia="仿宋" w:cs="仿宋"/>
                <w:kern w:val="2"/>
                <w:sz w:val="21"/>
                <w:szCs w:val="21"/>
                <w:lang w:val="en-US" w:eastAsia="zh-CN" w:bidi="ar-SA"/>
              </w:rPr>
              <w:t>失信</w:t>
            </w:r>
            <w:r>
              <w:rPr>
                <w:rFonts w:hint="eastAsia" w:ascii="仿宋" w:hAnsi="仿宋" w:eastAsia="仿宋" w:cs="仿宋"/>
                <w:kern w:val="2"/>
                <w:sz w:val="21"/>
                <w:szCs w:val="21"/>
                <w:lang w:val="en-US" w:eastAsia="zh-CN" w:bidi="ar-SA"/>
              </w:rPr>
              <w:fldChar w:fldCharType="end"/>
            </w:r>
            <w:r>
              <w:rPr>
                <w:rFonts w:hint="eastAsia" w:ascii="仿宋" w:hAnsi="仿宋" w:eastAsia="仿宋" w:cs="仿宋"/>
                <w:kern w:val="2"/>
                <w:sz w:val="21"/>
                <w:szCs w:val="21"/>
                <w:lang w:val="en-US" w:eastAsia="zh-CN" w:bidi="ar-SA"/>
              </w:rPr>
              <w:t>被执行人名单”、未被“中国政府采购网”列入“政府采购严重违法失信行为信息记录名单”、未被“国家企业信用信息公示系统”列入网站“严重违法失信企业名单”，不在兴业银行供应商禁用/退出期内。</w:t>
            </w:r>
          </w:p>
        </w:tc>
        <w:tc>
          <w:tcPr>
            <w:tcW w:w="1550" w:type="dxa"/>
            <w:vAlign w:val="center"/>
          </w:tcPr>
          <w:p w14:paraId="4D374C7E">
            <w:pPr>
              <w:topLinePunct w:val="0"/>
              <w:ind w:firstLine="560" w:firstLineChars="200"/>
              <w:rPr>
                <w:rFonts w:hint="eastAsia" w:ascii="仿宋" w:hAnsi="仿宋" w:eastAsia="仿宋" w:cs="仿宋"/>
                <w:sz w:val="28"/>
                <w:szCs w:val="28"/>
              </w:rPr>
            </w:pPr>
          </w:p>
        </w:tc>
        <w:tc>
          <w:tcPr>
            <w:tcW w:w="3963" w:type="dxa"/>
            <w:vAlign w:val="center"/>
          </w:tcPr>
          <w:p w14:paraId="48AE3A2F">
            <w:pPr>
              <w:topLinePunct w:val="0"/>
              <w:ind w:firstLine="560" w:firstLineChars="200"/>
              <w:rPr>
                <w:rFonts w:hint="eastAsia" w:ascii="仿宋" w:hAnsi="仿宋" w:eastAsia="仿宋" w:cs="仿宋"/>
                <w:sz w:val="28"/>
                <w:szCs w:val="28"/>
              </w:rPr>
            </w:pPr>
          </w:p>
        </w:tc>
      </w:tr>
      <w:tr w14:paraId="5E10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50" w:type="dxa"/>
            <w:vAlign w:val="center"/>
          </w:tcPr>
          <w:p w14:paraId="34AF6BD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2.7  经营范围经国家行政管理部门依法批准，同时获得从事行业有效执业证明、行政许可、专业资质等证照。</w:t>
            </w:r>
          </w:p>
        </w:tc>
        <w:tc>
          <w:tcPr>
            <w:tcW w:w="1550" w:type="dxa"/>
            <w:vAlign w:val="center"/>
          </w:tcPr>
          <w:p w14:paraId="38C6ACF8">
            <w:pPr>
              <w:topLinePunct w:val="0"/>
              <w:ind w:firstLine="560" w:firstLineChars="200"/>
              <w:rPr>
                <w:rFonts w:hint="eastAsia" w:ascii="仿宋" w:hAnsi="仿宋" w:eastAsia="仿宋" w:cs="仿宋"/>
                <w:sz w:val="28"/>
                <w:szCs w:val="28"/>
              </w:rPr>
            </w:pPr>
          </w:p>
        </w:tc>
        <w:tc>
          <w:tcPr>
            <w:tcW w:w="3963" w:type="dxa"/>
            <w:vAlign w:val="center"/>
          </w:tcPr>
          <w:p w14:paraId="0366018D">
            <w:pPr>
              <w:topLinePunct w:val="0"/>
              <w:ind w:firstLine="560" w:firstLineChars="200"/>
              <w:rPr>
                <w:rFonts w:hint="eastAsia" w:ascii="仿宋" w:hAnsi="仿宋" w:eastAsia="仿宋" w:cs="仿宋"/>
                <w:sz w:val="28"/>
                <w:szCs w:val="28"/>
              </w:rPr>
            </w:pPr>
          </w:p>
        </w:tc>
      </w:tr>
      <w:tr w14:paraId="385A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50" w:type="dxa"/>
            <w:vAlign w:val="center"/>
          </w:tcPr>
          <w:p w14:paraId="0F2B939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2.8  两年内目标服务领域未出现严重安全事件。</w:t>
            </w:r>
          </w:p>
        </w:tc>
        <w:tc>
          <w:tcPr>
            <w:tcW w:w="1550" w:type="dxa"/>
            <w:vAlign w:val="center"/>
          </w:tcPr>
          <w:p w14:paraId="4826301D">
            <w:pPr>
              <w:topLinePunct w:val="0"/>
              <w:ind w:firstLine="560" w:firstLineChars="200"/>
              <w:rPr>
                <w:rFonts w:hint="eastAsia" w:ascii="仿宋" w:hAnsi="仿宋" w:eastAsia="仿宋" w:cs="仿宋"/>
                <w:sz w:val="28"/>
                <w:szCs w:val="28"/>
              </w:rPr>
            </w:pPr>
          </w:p>
        </w:tc>
        <w:tc>
          <w:tcPr>
            <w:tcW w:w="3963" w:type="dxa"/>
            <w:vAlign w:val="center"/>
          </w:tcPr>
          <w:p w14:paraId="6EBEA149">
            <w:pPr>
              <w:topLinePunct w:val="0"/>
              <w:ind w:firstLine="560" w:firstLineChars="200"/>
              <w:rPr>
                <w:rFonts w:hint="eastAsia" w:ascii="仿宋" w:hAnsi="仿宋" w:eastAsia="仿宋" w:cs="仿宋"/>
                <w:sz w:val="28"/>
                <w:szCs w:val="28"/>
              </w:rPr>
            </w:pPr>
          </w:p>
        </w:tc>
      </w:tr>
    </w:tbl>
    <w:p w14:paraId="6DF24A9C">
      <w:pPr>
        <w:pStyle w:val="2"/>
        <w:ind w:left="0" w:leftChars="0" w:firstLine="0" w:firstLineChars="0"/>
        <w:rPr>
          <w:rFonts w:hint="eastAsia"/>
        </w:rPr>
      </w:pPr>
    </w:p>
    <w:p w14:paraId="6C750463">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14:paraId="4FFE332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14:paraId="33E7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380FCBDB">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14:paraId="521651C8">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14:paraId="349F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6167EDD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14:paraId="71A6A5E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14:paraId="0CD80F4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14:paraId="08F9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6DE6C47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14:paraId="43C2AB1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14:paraId="3B22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382E9D2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14:paraId="5442F118">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236E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3430D8C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14:paraId="4D5838B6">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5497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4ECB677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14:paraId="6ADE6D8B">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14:paraId="1773BEC6">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14:paraId="6297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6EFEFD4B">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14:paraId="106BCE5C">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72F9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1F8B7C9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14:paraId="516C720D">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14:paraId="4672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4985297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14:paraId="188490C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14:paraId="46D5AAB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14:paraId="7ADA1B6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14:paraId="51C22BB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14:paraId="1D19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11A12A0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14:paraId="2455166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14:paraId="25F3D15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6269EA1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14:paraId="5717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7E8E4E56">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14:paraId="0F99DE0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14:paraId="3072D77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6A1462E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14:paraId="68A4DE5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14:paraId="12EC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3F28019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14:paraId="211678B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14:paraId="4574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599FC0F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14:paraId="285E4C38">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14:paraId="5BE12C3B">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14:paraId="6942CC0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14:paraId="210A419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14:paraId="45EE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3110C1D7">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14:paraId="33157BEE">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340C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14:paraId="7B38057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14:paraId="618187B2">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14:paraId="02887BCD">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14:paraId="75524244">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14:paraId="4D2D219E">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14:paraId="5DC29C82">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14:paraId="2A546478">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14:paraId="59ED1B2B">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14:paraId="6A17A836">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78953A1A">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14:paraId="49EDE23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14:paraId="7D038B9C">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sz w:val="32"/>
          <w:szCs w:val="32"/>
          <w:lang w:val="en-US" w:eastAsia="zh-CN"/>
        </w:rPr>
        <w:t>兴业银行西宁分行租赁电信运营商机房</w:t>
      </w:r>
      <w:r>
        <w:rPr>
          <w:rFonts w:hint="eastAsia" w:ascii="仿宋" w:hAnsi="仿宋" w:eastAsia="仿宋" w:cs="仿宋"/>
          <w:sz w:val="32"/>
          <w:szCs w:val="32"/>
        </w:rPr>
        <w:t>项目</w:t>
      </w:r>
      <w:r>
        <w:rPr>
          <w:rFonts w:hint="eastAsia" w:ascii="仿宋" w:hAnsi="仿宋" w:eastAsia="仿宋" w:cs="仿宋"/>
          <w:b w:val="0"/>
          <w:bCs w:val="0"/>
          <w:sz w:val="32"/>
          <w:szCs w:val="32"/>
        </w:rPr>
        <w:t>》相关案例情况：（</w:t>
      </w:r>
      <w:r>
        <w:rPr>
          <w:rFonts w:hint="eastAsia" w:ascii="仿宋" w:hAnsi="仿宋" w:eastAsia="仿宋" w:cs="仿宋"/>
          <w:b w:val="0"/>
          <w:bCs w:val="0"/>
          <w:sz w:val="32"/>
          <w:szCs w:val="32"/>
          <w:lang w:val="en-US" w:eastAsia="zh-CN"/>
        </w:rPr>
        <w:t>2021年至今与六大国有银行及十二家全国性股份制银行的与本项目相似的成功案例</w:t>
      </w:r>
      <w:r>
        <w:rPr>
          <w:rFonts w:hint="eastAsia" w:ascii="仿宋" w:hAnsi="仿宋" w:eastAsia="仿宋" w:cs="仿宋"/>
          <w:b w:val="0"/>
          <w:bCs w:val="0"/>
          <w:sz w:val="32"/>
          <w:szCs w:val="32"/>
        </w:rPr>
        <w:t>）</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14:paraId="2770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14:paraId="47427F04">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14:paraId="5A7B1123">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14:paraId="641A2DFD">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14:paraId="728F6F7A">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14:paraId="10833A6A">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14:paraId="0604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14:paraId="4991B41E">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14:paraId="2A515341">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14:paraId="76048FA2">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561C0A72">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7E8F5419">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14:paraId="599A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205F393A">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14:paraId="5596F536">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3637B1A1">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73DB520A">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1A88A5CC">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7183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11E1202C">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6DF72B4E">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312E55B7">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0AEA4D41">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221F74D6">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00C0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5D5015B9">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5697C231">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1FB0B42F">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4564F1C6">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5272C880">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14:paraId="60E62DB4">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14:paraId="5863A5D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14:paraId="4D3A3DF2">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14:paraId="00027ED5">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7CDD2FEF">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14:paraId="559DBFEA">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14:paraId="4E801A9D">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14:paraId="13976541">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14:paraId="238DCA3D">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14:paraId="6FDE82F6">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14:paraId="1712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6C9F">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14:paraId="3BBBB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0C7D">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0405">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6AF1">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9899">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E08E">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B780">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14:paraId="46F63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5A77">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8DA7">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7143">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439C">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9DD2">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D8BD">
            <w:pPr>
              <w:jc w:val="both"/>
              <w:rPr>
                <w:rFonts w:hint="eastAsia" w:ascii="仿宋" w:hAnsi="仿宋" w:eastAsia="仿宋" w:cs="仿宋"/>
                <w:i w:val="0"/>
                <w:iCs w:val="0"/>
                <w:color w:val="000000"/>
                <w:sz w:val="28"/>
                <w:szCs w:val="28"/>
                <w:u w:val="none"/>
              </w:rPr>
            </w:pPr>
          </w:p>
        </w:tc>
      </w:tr>
      <w:tr w14:paraId="582E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5D3F">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33FC">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7904">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2C51">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9808">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88A1">
            <w:pPr>
              <w:jc w:val="both"/>
              <w:rPr>
                <w:rFonts w:hint="eastAsia" w:ascii="仿宋" w:hAnsi="仿宋" w:eastAsia="仿宋" w:cs="仿宋"/>
                <w:i w:val="0"/>
                <w:iCs w:val="0"/>
                <w:color w:val="000000"/>
                <w:sz w:val="28"/>
                <w:szCs w:val="28"/>
                <w:u w:val="none"/>
              </w:rPr>
            </w:pPr>
          </w:p>
        </w:tc>
      </w:tr>
      <w:tr w14:paraId="0B4AF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2D8B">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0542">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446D">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B904">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1A1D">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37D9">
            <w:pPr>
              <w:jc w:val="both"/>
              <w:rPr>
                <w:rFonts w:hint="eastAsia" w:ascii="仿宋" w:hAnsi="仿宋" w:eastAsia="仿宋" w:cs="仿宋"/>
                <w:i w:val="0"/>
                <w:iCs w:val="0"/>
                <w:color w:val="000000"/>
                <w:sz w:val="28"/>
                <w:szCs w:val="28"/>
                <w:u w:val="none"/>
              </w:rPr>
            </w:pPr>
          </w:p>
        </w:tc>
      </w:tr>
      <w:tr w14:paraId="022BB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9CB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6CBC">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DDD1">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EEA1">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71E0">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4300">
            <w:pPr>
              <w:jc w:val="both"/>
              <w:rPr>
                <w:rFonts w:hint="eastAsia" w:ascii="仿宋" w:hAnsi="仿宋" w:eastAsia="仿宋" w:cs="仿宋"/>
                <w:i w:val="0"/>
                <w:iCs w:val="0"/>
                <w:color w:val="000000"/>
                <w:sz w:val="28"/>
                <w:szCs w:val="28"/>
                <w:u w:val="none"/>
              </w:rPr>
            </w:pPr>
          </w:p>
        </w:tc>
      </w:tr>
    </w:tbl>
    <w:p w14:paraId="497E6D2E">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14:paraId="7627A2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34174A"/>
    <w:rsid w:val="0DED7F9F"/>
    <w:rsid w:val="10DA3BEF"/>
    <w:rsid w:val="13DD0D7A"/>
    <w:rsid w:val="15A11AB1"/>
    <w:rsid w:val="365B1D40"/>
    <w:rsid w:val="484340B9"/>
    <w:rsid w:val="503B1E49"/>
    <w:rsid w:val="57CD473F"/>
    <w:rsid w:val="5966279D"/>
    <w:rsid w:val="5BD14B17"/>
    <w:rsid w:val="5CC17BCD"/>
    <w:rsid w:val="66DE5110"/>
    <w:rsid w:val="79330017"/>
    <w:rsid w:val="79B741F7"/>
    <w:rsid w:val="7F7B98EB"/>
    <w:rsid w:val="F597257D"/>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1178</Words>
  <Characters>1272</Characters>
  <Lines>0</Lines>
  <Paragraphs>0</Paragraphs>
  <TotalTime>27</TotalTime>
  <ScaleCrop>false</ScaleCrop>
  <LinksUpToDate>false</LinksUpToDate>
  <CharactersWithSpaces>1315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2024-11-22T03:06:00Z</dcterms:created>
  <dc:creator>石瑜</dc:creator>
  <cp:lastModifiedBy>玉簪轻绾融于发</cp:lastModifiedBy>
  <dcterms:modified xsi:type="dcterms:W3CDTF">2025-04-22T08:28:59Z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0B3CDA72D72C4AF5BE47E0EBC82A77F4_13</vt:lpwstr>
  </property>
</Properties>
</file>