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045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888"/>
        <w:gridCol w:w="4172"/>
        <w:gridCol w:w="1964"/>
        <w:gridCol w:w="1465"/>
        <w:gridCol w:w="1409"/>
      </w:tblGrid>
      <w:tr w14:paraId="1ACDA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C333B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AF3881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标段名称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F062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主要工作内容及成果资料提交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6E0DAF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工期要求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B95475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交货地点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3DE77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信息服务费（元）</w:t>
            </w:r>
          </w:p>
        </w:tc>
      </w:tr>
      <w:tr w14:paraId="1DAB7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B172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C8969E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/>
                <w:position w:val="0"/>
                <w:sz w:val="18"/>
                <w:szCs w:val="18"/>
                <w:highlight w:val="none"/>
              </w:rPr>
              <w:t>黄河羊曲水电站库区柽柳就地防护区排涝工程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5A7D5">
            <w:pPr>
              <w:spacing w:line="240" w:lineRule="auto"/>
              <w:ind w:firstLine="360" w:firstLineChars="200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本标段包括以下主要工作内容（但不限于）：</w:t>
            </w:r>
          </w:p>
          <w:p w14:paraId="09CC2334">
            <w:pPr>
              <w:spacing w:line="240" w:lineRule="auto"/>
              <w:ind w:firstLine="360" w:firstLineChars="200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（1）然果村就地防护区排涝泵房、渗水渠、道路、及一体化光伏水泵系统；</w:t>
            </w:r>
          </w:p>
          <w:p w14:paraId="40B1583F">
            <w:pPr>
              <w:spacing w:line="240" w:lineRule="auto"/>
              <w:ind w:firstLine="360" w:firstLineChars="200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（2）上鹿圈村就地防护区泵房、渗水渠、道路和一体化光伏水泵系统；</w:t>
            </w:r>
          </w:p>
          <w:p w14:paraId="6E91CBCB">
            <w:pPr>
              <w:pStyle w:val="9"/>
              <w:adjustRightInd w:val="0"/>
              <w:snapToGrid w:val="0"/>
              <w:spacing w:before="0" w:after="0" w:line="240" w:lineRule="auto"/>
              <w:ind w:firstLine="360" w:firstLineChars="200"/>
              <w:contextualSpacing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（3）为完成本工程所需的临时设施的设计、施工及运行、维护、拆除、恢复等。</w:t>
            </w: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032C9">
            <w:pPr>
              <w:spacing w:line="240" w:lineRule="auto"/>
              <w:contextualSpacing/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2025年5月15日开工，2025年8月15日完工，具体以书面的进场通知、开工令为准。</w:t>
            </w:r>
          </w:p>
          <w:p w14:paraId="7524E3B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ACC2C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kern w:val="0"/>
                <w:sz w:val="18"/>
                <w:szCs w:val="18"/>
                <w:highlight w:val="none"/>
                <w:lang w:val="en-US" w:eastAsia="zh-CN" w:bidi="ar-SA"/>
              </w:rPr>
              <w:t>黄河羊曲水电站库区柽柳就地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206A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300.00 </w:t>
            </w:r>
          </w:p>
        </w:tc>
      </w:tr>
      <w:tr w14:paraId="52D125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DDC3D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E9A59">
            <w:pPr>
              <w:spacing w:line="240" w:lineRule="auto"/>
              <w:ind w:firstLine="900" w:firstLineChars="500"/>
              <w:contextualSpacing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海</w:t>
            </w:r>
            <w:r>
              <w:rPr>
                <w:rFonts w:hint="eastAsia" w:ascii="宋体" w:hAnsi="宋体" w:eastAsia="宋体" w:cs="宋体"/>
                <w:b w:val="0"/>
                <w:bCs/>
                <w:kern w:val="0"/>
                <w:sz w:val="18"/>
                <w:szCs w:val="18"/>
                <w:highlight w:val="none"/>
                <w:lang w:val="en-US" w:eastAsia="zh-CN"/>
              </w:rPr>
              <w:t>茨哈峡水电站实物指标调查配合服务项目</w:t>
            </w:r>
          </w:p>
          <w:p w14:paraId="0245B979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82B6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1.水电站实物指标调查咨询（含会议组织）；</w:t>
            </w:r>
          </w:p>
          <w:p w14:paraId="277195A9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2.协助处理调查人员与少数民族沟通；</w:t>
            </w:r>
          </w:p>
          <w:p w14:paraId="3873F696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3.满足调查人员约75人的住宿、交通（7辆越野车，含司机）等工作；</w:t>
            </w:r>
          </w:p>
          <w:p w14:paraId="4AC96F1D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4.协助当地政府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编制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实物指标调查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实施方案，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安排调查人员的交通、住宿；</w:t>
            </w:r>
          </w:p>
          <w:p w14:paraId="03C79BFA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5.协助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开展实物指标调查，土地包括地类、权属、面积；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协助开展农村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房屋、零星树木；农村部分、城镇部分、专业项目处理、独立行政机关和企事业单位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调查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项目；</w:t>
            </w:r>
          </w:p>
          <w:p w14:paraId="1BA797B6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6.协助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开展实物指标分解工作，例如在农村集体经济组织调查成果基础上，将土地调查成果分解到承包户；</w:t>
            </w:r>
          </w:p>
          <w:p w14:paraId="2650DDBD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7.协助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组织开展实物指标公示，听证；</w:t>
            </w:r>
          </w:p>
          <w:p w14:paraId="682CFEAE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8.协助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征求移民意愿，移民安置区选址、分配安置任务、提出移民安置方式、去向；</w:t>
            </w:r>
          </w:p>
          <w:p w14:paraId="6DBCC2B5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9.协助开展与当地政府及相关行业主管部门、乡镇、村委的沟通协调工作；</w:t>
            </w:r>
          </w:p>
          <w:p w14:paraId="282E0119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10.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为满足开展建设征地移民安置前期工作要求的其它工作内容；</w:t>
            </w:r>
          </w:p>
          <w:p w14:paraId="55C29045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11.协调落实耕地占补平衡指标落实方案及购买途径。</w:t>
            </w:r>
          </w:p>
          <w:p w14:paraId="0F59AB1B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B662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总工期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个月，具体服务时间以甲方书面通知为准。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E4297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海南藏族自治州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同德县、兴海县；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果洛藏族自治州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玛沁县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F4C94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300.00 </w:t>
            </w:r>
          </w:p>
        </w:tc>
      </w:tr>
      <w:tr w14:paraId="423E9D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2284B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B42F47">
            <w:pPr>
              <w:spacing w:line="240" w:lineRule="auto"/>
              <w:ind w:firstLine="900" w:firstLineChars="500"/>
              <w:contextualSpacing/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  <w:lang w:eastAsia="zh-CN"/>
              </w:rPr>
              <w:t>海</w:t>
            </w:r>
            <w:r>
              <w:rPr>
                <w:rFonts w:hint="eastAsia" w:ascii="宋体" w:hAnsi="宋体" w:eastAsia="宋体" w:cs="宋体"/>
                <w:b w:val="0"/>
                <w:bCs/>
                <w:position w:val="-6"/>
                <w:sz w:val="18"/>
                <w:szCs w:val="18"/>
                <w:highlight w:val="none"/>
                <w:lang w:val="zh-CN" w:eastAsia="zh-CN"/>
              </w:rPr>
              <w:t>羊曲水电站达标投产及枢纽区生产环境综合整治工程（土建）</w:t>
            </w:r>
          </w:p>
          <w:p w14:paraId="605EC797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1A28B3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本标段包括以下主要工作内容（但不限于）：</w:t>
            </w:r>
          </w:p>
          <w:p w14:paraId="0FFCDA16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（1）左岸码头库岸边坡支护；</w:t>
            </w:r>
          </w:p>
          <w:p w14:paraId="1926F885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（2）左副坝灌浆洞洞口明拱及整治；</w:t>
            </w:r>
          </w:p>
          <w:p w14:paraId="7B58A75A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（3）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坝顶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左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岸储物室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</w:t>
            </w:r>
          </w:p>
          <w:p w14:paraId="14DC2C74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（4）右岸高线道路边坡贴坡混凝土；</w:t>
            </w:r>
          </w:p>
          <w:p w14:paraId="170C0A88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（5）临时生态放水洞闸室交通洞口整治；</w:t>
            </w:r>
          </w:p>
          <w:p w14:paraId="53A265FB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（6）进厂道路边坡防护；</w:t>
            </w:r>
          </w:p>
          <w:p w14:paraId="4063B609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（7）导流洞出口防护；</w:t>
            </w:r>
          </w:p>
          <w:p w14:paraId="7F3C7C23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（8）开关站平台临河侧边坡坡脚混凝土挡墙、坡面修整及防护；</w:t>
            </w:r>
          </w:p>
          <w:p w14:paraId="0DE4541A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（9）达标投产其它相关土建施工工作；</w:t>
            </w:r>
          </w:p>
          <w:p w14:paraId="503AC1DD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（10）本工程所需的临建设施的设计、施工、维护、拆除及恢复等工作。</w:t>
            </w:r>
          </w:p>
          <w:p w14:paraId="715D5A46">
            <w:pPr>
              <w:pStyle w:val="9"/>
              <w:adjustRightInd w:val="0"/>
              <w:snapToGrid w:val="0"/>
              <w:spacing w:before="0" w:after="0" w:line="240" w:lineRule="auto"/>
              <w:ind w:firstLine="360" w:firstLineChars="200"/>
              <w:contextualSpacing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5189A1">
            <w:pPr>
              <w:keepNext w:val="0"/>
              <w:keepLines w:val="0"/>
              <w:widowControl/>
              <w:suppressLineNumbers w:val="0"/>
              <w:spacing w:line="240" w:lineRule="auto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2025年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日开工，2025年11月30日完工，具体以书面的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开工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通知为准。</w:t>
            </w: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FB61A9">
            <w:pPr>
              <w:spacing w:line="240" w:lineRule="auto"/>
              <w:contextualSpacing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羊曲水电站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8C192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300.00 </w:t>
            </w:r>
          </w:p>
        </w:tc>
      </w:tr>
      <w:tr w14:paraId="53FE65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6FF6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61EDC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18"/>
                <w:szCs w:val="18"/>
                <w:highlight w:val="none"/>
              </w:rPr>
              <w:t>海南州茶卡哇玉（一期）、茶卡石乃亥（二期）、多能互补400MW、50MW集中式、特高压外送基地切吉乡1300MW风电项目道路植被恢复工程施工监理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67BFD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1.2.1监理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服务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范围（包括但不限于）</w:t>
            </w:r>
          </w:p>
          <w:p w14:paraId="3A46ED93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（1）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植被恢复施工前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排查风电场道路、风机及箱变周围植被恢复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情况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确定具体种植部位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，形成种植区域测量成果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报告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；</w:t>
            </w:r>
          </w:p>
          <w:p w14:paraId="126EDCA7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）审查施工材料（含肥料、草籽及生态毯等）供应商资质及材料质量证明文件，开展材料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的抽检试验及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进场验收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监督出入库管理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</w:t>
            </w:r>
          </w:p>
          <w:p w14:paraId="03027B3F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）监理风电场道路、风机及箱变基础周围的植被恢复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施工，主要内容包括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风电场道路砂石路面清除（道路宽约6m，2m范围清理，保留4m检修道路）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风电场恢复区域的松土、捡石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施肥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草籽种植、铺设生态毯及灌溉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；</w:t>
            </w:r>
          </w:p>
          <w:p w14:paraId="74E9915F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监理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风电场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植被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恢复2年养护期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内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的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植被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养护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补种及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保活；</w:t>
            </w:r>
          </w:p>
          <w:p w14:paraId="6808E995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）本工程所需的临时工程建设及恢复。</w:t>
            </w:r>
          </w:p>
          <w:p w14:paraId="10581B54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1.2.2监理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工作内容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（包括但不限于）</w:t>
            </w:r>
          </w:p>
          <w:p w14:paraId="200BBF24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负责工程项目进度、质量、安全、环保、外协、验收等全过程管理工作；落实项目的质量计划、进度控制和成本控制确保项目施工顺利进行和按时完成；负责组织进度计划的编制和实施工作，控制施工进度完成工期目标；根据施工进度到工地巡检，负责工程施工中问题的协调、解决；负责工程人员协调、沟通及培训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管理施工队伍,并协调好对内、对外的关系；负责施工现场的安全文明施工和环保的管理、监督工作；合同谈判、图纸审查、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组织或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参加设计及安全等交底；审查施工组织设计、专项施工及方案、结算报表等；工程验收及竣工结算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；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负责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审查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进场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材料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相关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证明文件，开展材料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的抽检试验及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进场验收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监督材料出入库管理；负责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排查风电场植被恢复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现状确定种植部位并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形成测量成果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报告；负责收集风电场植被恢复全过程影像资料并形成恢复前后对比报告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  <w:t>等。</w:t>
            </w:r>
          </w:p>
          <w:p w14:paraId="2CEC5C79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69152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植被恢复区域排查及测量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服务期限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：2025年5月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日至2025年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日。</w:t>
            </w:r>
          </w:p>
          <w:p w14:paraId="559FD188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植被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恢复施工监理服务期限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：2025年5月1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日至2025年7月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日。</w:t>
            </w:r>
          </w:p>
          <w:p w14:paraId="4E20756B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养护期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监理服务期限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：2025年7月1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日至2027年7月1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日。</w:t>
            </w:r>
          </w:p>
          <w:p w14:paraId="0C070564">
            <w:pPr>
              <w:spacing w:line="240" w:lineRule="auto"/>
              <w:ind w:firstLine="360" w:firstLineChars="200"/>
              <w:contextualSpacing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具体开工时间以建设管理单位进场通知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时间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/>
              </w:rPr>
              <w:t>为准。</w:t>
            </w:r>
          </w:p>
          <w:p w14:paraId="707A2953">
            <w:pPr>
              <w:keepNext w:val="0"/>
              <w:keepLines w:val="0"/>
              <w:widowControl/>
              <w:suppressLineNumbers w:val="0"/>
              <w:spacing w:line="240" w:lineRule="auto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24E02">
            <w:pPr>
              <w:spacing w:line="240" w:lineRule="auto"/>
              <w:rPr>
                <w:rFonts w:hint="eastAsia" w:ascii="宋体" w:hAnsi="宋体" w:eastAsia="宋体" w:cs="宋体"/>
                <w:snapToGrid w:val="0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海南州茶卡哇玉（一期）、茶卡石乃亥（二期）、多能互补400MW、50MW集中式、特高压外送基地切吉乡1300MW风电项目。</w:t>
            </w:r>
          </w:p>
          <w:p w14:paraId="03B2FA38">
            <w:pPr>
              <w:spacing w:line="240" w:lineRule="auto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C3B4C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300.00 </w:t>
            </w:r>
          </w:p>
        </w:tc>
      </w:tr>
      <w:tr w14:paraId="50B6E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</w:trPr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479A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4DD1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海南州茶卡哇玉（一期）、茶卡石乃海（二期）、多能互补400MW、50MW集中式、</w:t>
            </w:r>
          </w:p>
          <w:p w14:paraId="538159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特高压外送基地切吉1300MW风电项目道路植被恢复工程（A包、B包、C包）</w:t>
            </w:r>
          </w:p>
        </w:tc>
        <w:tc>
          <w:tcPr>
            <w:tcW w:w="4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67A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各标包主要工程包括下列项目（但不限于）：</w:t>
            </w:r>
          </w:p>
          <w:p w14:paraId="0EA989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（1）风电场道路、风机及箱变基础周围等的植被恢复；</w:t>
            </w:r>
          </w:p>
          <w:p w14:paraId="6A4F7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（2）风电场道路砂石路面清除（道路宽约6m，2m范围清理，保留4m检修道路）；</w:t>
            </w:r>
          </w:p>
          <w:p w14:paraId="39ACA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（3）恢复区域的松土、捡石，商用有机肥、牧草专用肥、羊板粪等肥料施肥，短芒披碱草、中华羊茅、冷地早熟禾、芨芨草、冰草等草籽种植、铺设生态毯及灌溉；</w:t>
            </w:r>
          </w:p>
          <w:p w14:paraId="2A48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（4）恢复区域的植被养护及保活（养护期2年）；</w:t>
            </w:r>
          </w:p>
          <w:p w14:paraId="5D9827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（5）本工程所需的临时工程建设及恢复。</w:t>
            </w:r>
          </w:p>
          <w:p w14:paraId="7719380A">
            <w:pPr>
              <w:keepNext w:val="0"/>
              <w:keepLines w:val="0"/>
              <w:widowControl/>
              <w:suppressLineNumbers w:val="0"/>
              <w:spacing w:line="240" w:lineRule="auto"/>
              <w:ind w:firstLine="360" w:firstLineChars="2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</w:p>
        </w:tc>
        <w:tc>
          <w:tcPr>
            <w:tcW w:w="19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68F0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植被恢复工期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：2025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年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月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日至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  <w:t>2025年7月15日</w:t>
            </w: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，具体开工时间以建设管理单位进场通知为准。</w:t>
            </w:r>
          </w:p>
          <w:p w14:paraId="752126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360" w:firstLineChars="200"/>
              <w:contextualSpacing/>
              <w:textAlignment w:val="auto"/>
              <w:outlineLvl w:val="9"/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highlight w:val="none"/>
                <w:lang w:val="zh-CN" w:eastAsia="zh-CN"/>
              </w:rPr>
              <w:t>养护期：2025年7月16日至2027年7月15日。</w:t>
            </w:r>
          </w:p>
          <w:p w14:paraId="3FA23C7B">
            <w:pPr>
              <w:pStyle w:val="9"/>
              <w:adjustRightInd w:val="0"/>
              <w:snapToGrid w:val="0"/>
              <w:spacing w:before="0" w:after="0" w:line="240" w:lineRule="auto"/>
              <w:ind w:firstLine="360" w:firstLineChars="200"/>
              <w:contextualSpacing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</w:p>
        </w:tc>
        <w:tc>
          <w:tcPr>
            <w:tcW w:w="14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B58FA">
            <w:pPr>
              <w:pStyle w:val="9"/>
              <w:adjustRightInd w:val="0"/>
              <w:snapToGrid w:val="0"/>
              <w:spacing w:before="0" w:after="0" w:line="240" w:lineRule="auto"/>
              <w:ind w:left="0" w:leftChars="0" w:firstLine="0" w:firstLineChars="0"/>
              <w:contextualSpacing/>
              <w:rPr>
                <w:rFonts w:hint="eastAsia" w:ascii="宋体" w:hAnsi="宋体" w:eastAsia="宋体" w:cs="宋体"/>
                <w:sz w:val="18"/>
                <w:szCs w:val="18"/>
                <w:highlight w:val="none"/>
              </w:rPr>
            </w:pPr>
            <w:r>
              <w:rPr>
                <w:rFonts w:hint="eastAsia" w:ascii="宋体" w:hAnsi="宋体" w:eastAsia="宋体" w:cs="宋体"/>
                <w:kern w:val="2"/>
                <w:sz w:val="18"/>
                <w:szCs w:val="18"/>
                <w:highlight w:val="none"/>
                <w:lang w:val="zh-CN" w:eastAsia="zh-CN" w:bidi="ar-SA"/>
              </w:rPr>
              <w:t>海南州茶卡哇玉（一期）、茶卡石乃海（二期）、多能互补400MW、50MW集中式、特高压外送基地切吉乡1300MW风电项目</w:t>
            </w:r>
          </w:p>
        </w:tc>
        <w:tc>
          <w:tcPr>
            <w:tcW w:w="14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40E43">
            <w:pPr>
              <w:keepNext w:val="0"/>
              <w:keepLines w:val="0"/>
              <w:widowControl/>
              <w:suppressLineNumbers w:val="0"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highlight w:val="none"/>
                <w:u w:val="none"/>
                <w:lang w:val="en-US" w:eastAsia="zh-CN" w:bidi="ar"/>
              </w:rPr>
              <w:t xml:space="preserve">300.00 </w:t>
            </w:r>
          </w:p>
        </w:tc>
      </w:tr>
    </w:tbl>
    <w:p w14:paraId="30A0717C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B"/>
    <w:multiLevelType w:val="multilevel"/>
    <w:tmpl w:val="0000000B"/>
    <w:lvl w:ilvl="0" w:tentative="0">
      <w:start w:val="1"/>
      <w:numFmt w:val="decimal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pStyle w:val="2"/>
      <w:lvlText w:val="%2)"/>
      <w:lvlJc w:val="left"/>
      <w:pPr>
        <w:ind w:left="1680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abstractNum w:abstractNumId="1">
    <w:nsid w:val="00000013"/>
    <w:multiLevelType w:val="multilevel"/>
    <w:tmpl w:val="00000013"/>
    <w:lvl w:ilvl="0" w:tentative="0">
      <w:start w:val="1"/>
      <w:numFmt w:val="decimal"/>
      <w:pStyle w:val="3"/>
      <w:lvlText w:val="（%1）"/>
      <w:lvlJc w:val="left"/>
      <w:pPr>
        <w:ind w:left="987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1407" w:hanging="420"/>
      </w:pPr>
    </w:lvl>
    <w:lvl w:ilvl="2" w:tentative="0">
      <w:start w:val="1"/>
      <w:numFmt w:val="lowerRoman"/>
      <w:lvlText w:val="%3."/>
      <w:lvlJc w:val="right"/>
      <w:pPr>
        <w:ind w:left="1827" w:hanging="420"/>
      </w:pPr>
    </w:lvl>
    <w:lvl w:ilvl="3" w:tentative="0">
      <w:start w:val="1"/>
      <w:numFmt w:val="decimal"/>
      <w:lvlText w:val="%4."/>
      <w:lvlJc w:val="left"/>
      <w:pPr>
        <w:ind w:left="2247" w:hanging="420"/>
      </w:pPr>
    </w:lvl>
    <w:lvl w:ilvl="4" w:tentative="0">
      <w:start w:val="1"/>
      <w:numFmt w:val="lowerLetter"/>
      <w:lvlText w:val="%5)"/>
      <w:lvlJc w:val="left"/>
      <w:pPr>
        <w:ind w:left="2667" w:hanging="420"/>
      </w:pPr>
    </w:lvl>
    <w:lvl w:ilvl="5" w:tentative="0">
      <w:start w:val="1"/>
      <w:numFmt w:val="lowerRoman"/>
      <w:lvlText w:val="%6."/>
      <w:lvlJc w:val="right"/>
      <w:pPr>
        <w:ind w:left="3087" w:hanging="420"/>
      </w:pPr>
    </w:lvl>
    <w:lvl w:ilvl="6" w:tentative="0">
      <w:start w:val="1"/>
      <w:numFmt w:val="decimal"/>
      <w:lvlText w:val="%7."/>
      <w:lvlJc w:val="left"/>
      <w:pPr>
        <w:ind w:left="3507" w:hanging="420"/>
      </w:pPr>
    </w:lvl>
    <w:lvl w:ilvl="7" w:tentative="0">
      <w:start w:val="1"/>
      <w:numFmt w:val="lowerLetter"/>
      <w:lvlText w:val="%8)"/>
      <w:lvlJc w:val="left"/>
      <w:pPr>
        <w:ind w:left="3927" w:hanging="420"/>
      </w:pPr>
    </w:lvl>
    <w:lvl w:ilvl="8" w:tentative="0">
      <w:start w:val="1"/>
      <w:numFmt w:val="lowerRoman"/>
      <w:lvlText w:val="%9."/>
      <w:lvlJc w:val="right"/>
      <w:pPr>
        <w:ind w:left="4347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33002B"/>
    <w:rsid w:val="23330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引言二级条标题"/>
    <w:basedOn w:val="3"/>
    <w:next w:val="1"/>
    <w:qFormat/>
    <w:uiPriority w:val="0"/>
    <w:pPr>
      <w:numPr>
        <w:ilvl w:val="1"/>
        <w:numId w:val="1"/>
      </w:numPr>
      <w:tabs>
        <w:tab w:val="left" w:pos="0"/>
        <w:tab w:val="left" w:pos="360"/>
        <w:tab w:val="left" w:pos="425"/>
        <w:tab w:val="left" w:pos="1200"/>
        <w:tab w:val="left" w:pos="1320"/>
        <w:tab w:val="left" w:pos="2160"/>
      </w:tabs>
      <w:jc w:val="left"/>
    </w:pPr>
    <w:rPr>
      <w:sz w:val="20"/>
    </w:rPr>
  </w:style>
  <w:style w:type="paragraph" w:customStyle="1" w:styleId="3">
    <w:name w:val="引言一级条标题"/>
    <w:basedOn w:val="4"/>
    <w:next w:val="7"/>
    <w:qFormat/>
    <w:uiPriority w:val="0"/>
    <w:pPr>
      <w:widowControl/>
      <w:numPr>
        <w:ilvl w:val="0"/>
        <w:numId w:val="2"/>
      </w:numPr>
      <w:tabs>
        <w:tab w:val="left" w:pos="0"/>
        <w:tab w:val="left" w:pos="425"/>
        <w:tab w:val="left" w:pos="1200"/>
        <w:tab w:val="left" w:pos="2160"/>
      </w:tabs>
    </w:pPr>
    <w:rPr>
      <w:rFonts w:ascii="Times New Roman" w:hAnsi="Times New Roman" w:eastAsia="黑体"/>
      <w:b/>
    </w:rPr>
  </w:style>
  <w:style w:type="paragraph" w:customStyle="1" w:styleId="4">
    <w:name w:val="正文1"/>
    <w:basedOn w:val="5"/>
    <w:next w:val="2"/>
    <w:semiHidden/>
    <w:qFormat/>
    <w:uiPriority w:val="0"/>
    <w:pPr>
      <w:keepNext w:val="0"/>
      <w:keepLines w:val="0"/>
      <w:tabs>
        <w:tab w:val="left" w:pos="0"/>
        <w:tab w:val="left" w:pos="425"/>
        <w:tab w:val="left" w:pos="1200"/>
        <w:tab w:val="left" w:pos="2160"/>
      </w:tabs>
      <w:adjustRightInd w:val="0"/>
      <w:spacing w:before="0" w:after="0" w:line="490" w:lineRule="exact"/>
      <w:textAlignment w:val="baseline"/>
      <w:outlineLvl w:val="9"/>
    </w:pPr>
    <w:rPr>
      <w:rFonts w:ascii="仿宋_GB2312" w:eastAsia="仿宋_GB2312"/>
      <w:kern w:val="0"/>
      <w:sz w:val="34"/>
    </w:rPr>
  </w:style>
  <w:style w:type="paragraph" w:customStyle="1" w:styleId="5">
    <w:name w:val="样式1"/>
    <w:basedOn w:val="6"/>
    <w:qFormat/>
    <w:uiPriority w:val="0"/>
    <w:pPr>
      <w:tabs>
        <w:tab w:val="left" w:pos="1200"/>
      </w:tabs>
      <w:spacing w:before="100" w:after="100"/>
    </w:pPr>
    <w:rPr>
      <w:rFonts w:hAnsi="宋体"/>
    </w:rPr>
  </w:style>
  <w:style w:type="paragraph" w:styleId="6">
    <w:name w:val="Normal Indent"/>
    <w:basedOn w:val="1"/>
    <w:qFormat/>
    <w:uiPriority w:val="0"/>
    <w:pPr>
      <w:adjustRightInd w:val="0"/>
      <w:spacing w:line="410" w:lineRule="atLeast"/>
      <w:ind w:firstLine="420"/>
      <w:jc w:val="left"/>
      <w:textAlignment w:val="baseline"/>
    </w:pPr>
    <w:rPr>
      <w:rFonts w:ascii="宋体" w:hAnsi="Times New Roman" w:cs="Times New Roman"/>
      <w:kern w:val="0"/>
      <w:sz w:val="24"/>
      <w:szCs w:val="20"/>
    </w:rPr>
  </w:style>
  <w:style w:type="paragraph" w:customStyle="1" w:styleId="7">
    <w:name w:val="段"/>
    <w:basedOn w:val="8"/>
    <w:next w:val="8"/>
    <w:qFormat/>
    <w:uiPriority w:val="0"/>
    <w:pPr>
      <w:autoSpaceDE w:val="0"/>
      <w:autoSpaceDN w:val="0"/>
      <w:ind w:firstLine="200" w:firstLineChars="200"/>
    </w:pPr>
    <w:rPr>
      <w:rFonts w:hAnsi="Times New Roman"/>
      <w:sz w:val="21"/>
    </w:rPr>
  </w:style>
  <w:style w:type="paragraph" w:styleId="8">
    <w:name w:val="Plain Text"/>
    <w:basedOn w:val="1"/>
    <w:next w:val="1"/>
    <w:qFormat/>
    <w:uiPriority w:val="0"/>
    <w:pPr>
      <w:adjustRightInd w:val="0"/>
      <w:spacing w:line="312" w:lineRule="atLeast"/>
      <w:textAlignment w:val="baseline"/>
    </w:pPr>
    <w:rPr>
      <w:rFonts w:ascii="宋体" w:hAnsi="Courier New" w:cs="Times New Roman"/>
      <w:kern w:val="0"/>
      <w:sz w:val="20"/>
      <w:szCs w:val="20"/>
    </w:rPr>
  </w:style>
  <w:style w:type="paragraph" w:styleId="9">
    <w:name w:val="Body Text Indent 2"/>
    <w:basedOn w:val="1"/>
    <w:qFormat/>
    <w:uiPriority w:val="0"/>
    <w:pPr>
      <w:spacing w:before="120" w:after="120" w:line="251" w:lineRule="auto"/>
      <w:ind w:firstLine="420" w:firstLineChars="200"/>
    </w:pPr>
    <w:rPr>
      <w:rFonts w:ascii="Times New Roman" w:hAnsi="Times New Roman" w:cs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2025-04-17T09:44:00Z</dcterms:created>
  <dc:creator>momo</dc:creator>
  <cp:lastModifiedBy>momo</cp:lastModifiedBy>
  <dcterms:modified xsi:type="dcterms:W3CDTF">2025-04-17T09:44:36Z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F8DC24AC2FCA4D68B3E97538C82B7178_11</vt:lpwstr>
  </property>
  <property fmtid="{D5CDD505-2E9C-101B-9397-08002B2CF9AE}" pid="4" name="KSOTemplateDocerSaveRecord">
    <vt:lpwstr>eyJoZGlkIjoiMDhhMGJlZGVkMzA4YjQyM2E4YWI4NTViOWU0YzBkYzQiLCJ1c2VySWQiOiIxNDA0MzEyODU3In0=</vt:lpwstr>
  </property>
</Properties>
</file>