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12BB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8600AC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409342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7BC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4710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AA1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72EEF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FD24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AF43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8C40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B8A6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5E1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55B7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8C8D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15E1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A160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BE55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6CE0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76FD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0A49C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C6EB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381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0E6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2ACBD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7D0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18E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175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77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591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178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AAF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F8F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099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A8CF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4EBC4C9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6CCBA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52BAE2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A94D47A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4734045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34818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2025-04-11T06:34:27Z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264C5B55490B4A35A7343A3109F3162A_13</vt:lpwstr>
  </property>
</Properties>
</file>