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625" w:afterLines="200" w:line="579" w:lineRule="exact"/>
        <w:jc w:val="left"/>
        <w:textAlignment w:val="auto"/>
        <w:outlineLvl w:val="0"/>
        <w:rPr>
          <w:rFonts w:hint="eastAsia" w:ascii="黑体" w:hAnsi="黑体" w:eastAsia="黑体" w:cs="黑体"/>
          <w:b w:val="0"/>
          <w:bCs/>
          <w:sz w:val="32"/>
          <w:szCs w:val="32"/>
          <w:lang w:val="en-US" w:eastAsia="zh-CN"/>
        </w:rPr>
      </w:pPr>
      <w:bookmarkStart w:id="0" w:name="_Toc7457"/>
      <w:r>
        <w:rPr>
          <w:rFonts w:hint="eastAsia" w:ascii="黑体" w:hAnsi="黑体" w:eastAsia="黑体" w:cs="黑体"/>
          <w:b w:val="0"/>
          <w:bCs/>
          <w:sz w:val="32"/>
          <w:szCs w:val="32"/>
          <w:lang w:val="en-US" w:eastAsia="zh-CN"/>
        </w:rPr>
        <w:t>附件</w:t>
      </w:r>
      <w:bookmarkEnd w:id="0"/>
      <w:r>
        <w:rPr>
          <w:rFonts w:hint="eastAsia" w:ascii="黑体" w:hAnsi="黑体" w:eastAsia="黑体" w:cs="黑体"/>
          <w:b w:val="0"/>
          <w:bCs/>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《兴业银行西宁分行关于第三方合作收单机构招标项目》供应商征集反馈材料-公司</w:t>
      </w:r>
      <w:r>
        <w:rPr>
          <w:rFonts w:hint="eastAsia" w:ascii="宋体" w:hAnsi="宋体" w:cs="宋体"/>
          <w:b/>
          <w:sz w:val="44"/>
          <w:szCs w:val="44"/>
          <w:lang w:val="en-US" w:eastAsia="zh-CN"/>
        </w:rPr>
        <w:t xml:space="preserve">             </w:t>
      </w:r>
      <w:r>
        <w:rPr>
          <w:rFonts w:hint="eastAsia" w:ascii="宋体" w:hAnsi="宋体" w:eastAsia="宋体" w:cs="宋体"/>
          <w:b/>
          <w:sz w:val="44"/>
          <w:szCs w:val="44"/>
          <w:lang w:val="en-US" w:eastAsia="zh-CN"/>
        </w:rPr>
        <w:t>名称（全称）</w:t>
      </w:r>
    </w:p>
    <w:p>
      <w:pPr>
        <w:ind w:left="0" w:leftChars="0" w:firstLine="0" w:firstLineChars="0"/>
        <w:jc w:val="center"/>
        <w:rPr>
          <w:rFonts w:hint="eastAsia" w:ascii="仿宋" w:hAnsi="仿宋" w:eastAsia="仿宋"/>
          <w:b/>
          <w:bCs/>
          <w:sz w:val="36"/>
          <w:szCs w:val="36"/>
          <w:lang w:val="en-US" w:eastAsia="zh-CN"/>
        </w:rPr>
      </w:pPr>
    </w:p>
    <w:p>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pPr>
        <w:pStyle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p>
      <w:pPr>
        <w:keepNext w:val="0"/>
        <w:keepLines w:val="0"/>
        <w:pageBreakBefore w:val="0"/>
        <w:kinsoku/>
        <w:wordWrap/>
        <w:overflowPunct/>
        <w:autoSpaceDE/>
        <w:autoSpaceDN/>
        <w:bidi w:val="0"/>
        <w:adjustRightInd/>
        <w:snapToGrid/>
        <w:spacing w:line="579" w:lineRule="exact"/>
        <w:ind w:left="0" w:lef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（该部分的“审核事项”列由</w:t>
      </w:r>
      <w:r>
        <w:rPr>
          <w:rFonts w:hint="eastAsia" w:ascii="仿宋" w:hAnsi="仿宋" w:eastAsia="仿宋" w:cs="仿宋"/>
          <w:b w:val="0"/>
          <w:bCs w:val="0"/>
          <w:color w:val="000000" w:themeColor="text1"/>
          <w:sz w:val="32"/>
          <w:szCs w:val="32"/>
          <w:lang w:eastAsia="zh-CN"/>
          <w14:textFill>
            <w14:solidFill>
              <w14:schemeClr w14:val="tx1"/>
            </w14:solidFill>
          </w14:textFill>
        </w:rPr>
        <w:t>需求（统筹管理）部门</w:t>
      </w:r>
      <w:r>
        <w:rPr>
          <w:rFonts w:hint="eastAsia" w:ascii="仿宋" w:hAnsi="仿宋" w:eastAsia="仿宋" w:cs="仿宋"/>
          <w:b w:val="0"/>
          <w:bCs w:val="0"/>
          <w:color w:val="000000" w:themeColor="text1"/>
          <w:sz w:val="32"/>
          <w:szCs w:val="32"/>
          <w14:textFill>
            <w14:solidFill>
              <w14:schemeClr w14:val="tx1"/>
            </w14:solidFill>
          </w14:textFill>
        </w:rPr>
        <w:t>填写，“审核事项”中的各点，请和征集公告文档中的第一和第二部分要求一一对应。“是否满足”和“基本情况说明”列由供应商填写。）</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4"/>
        <w:gridCol w:w="2016"/>
        <w:gridCol w:w="4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审核事项</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是否满足（是/否）</w:t>
            </w: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val="0"/>
                <w:sz w:val="28"/>
                <w:szCs w:val="28"/>
              </w:rPr>
            </w:pPr>
            <w:r>
              <w:rPr>
                <w:rFonts w:hint="eastAsia" w:ascii="仿宋" w:hAnsi="仿宋" w:eastAsia="仿宋" w:cs="仿宋"/>
                <w:b/>
                <w:bCs/>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1.1  </w:t>
            </w:r>
            <w:r>
              <w:rPr>
                <w:rFonts w:hint="eastAsia" w:ascii="仿宋" w:hAnsi="仿宋" w:eastAsia="仿宋" w:cs="仿宋"/>
                <w:b/>
                <w:bCs/>
                <w:sz w:val="28"/>
                <w:szCs w:val="28"/>
              </w:rPr>
              <w:t>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sz w:val="24"/>
                <w:szCs w:val="24"/>
                <w:lang w:val="en-US" w:eastAsia="zh-CN"/>
              </w:rPr>
              <w:t>为保持收单业务政策稳定性，保障收单业务存量收单商户项下储蓄存款，防止结算存款、核心客户数流失。结合当前收单业务市场行情与我行费用情况，依据总行推荐、历史合作等情况，筛选符合合作要求的收单合作机构，做大分行收单业务规模</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w:t>
            </w: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1.2</w:t>
            </w:r>
            <w:r>
              <w:rPr>
                <w:rFonts w:hint="eastAsia" w:ascii="仿宋" w:hAnsi="仿宋" w:eastAsia="仿宋" w:cs="仿宋"/>
                <w:b/>
                <w:bCs/>
                <w:sz w:val="28"/>
                <w:szCs w:val="28"/>
                <w:lang w:val="en-US" w:eastAsia="zh-CN"/>
              </w:rPr>
              <w:t>资格</w:t>
            </w:r>
            <w:r>
              <w:rPr>
                <w:rFonts w:hint="eastAsia" w:ascii="仿宋" w:hAnsi="仿宋" w:eastAsia="仿宋" w:cs="仿宋"/>
                <w:b/>
                <w:bCs/>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sz w:val="24"/>
                <w:szCs w:val="24"/>
              </w:rPr>
              <w:t>1.2.1取得中国人民银行《支付业务许可证》，业务类型包括银行卡收单，业务覆盖分行所辖区域</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sz w:val="24"/>
                <w:szCs w:val="24"/>
              </w:rPr>
              <w:t>1.2.2收单机构分支机构自有营销和服务人员数量能够满足与分行经营机构结对子营销的需要</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sz w:val="24"/>
                <w:szCs w:val="24"/>
              </w:rPr>
              <w:t>1.2.3合作申请前一年度在中国银联/网联有稳定的线下收单业务转接交易量</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sz w:val="24"/>
                <w:szCs w:val="24"/>
              </w:rPr>
              <w:t>1.2.4合作申请前两个年度未受到中国人民银行等监管机构在业务合规检查、反洗钱检查的重大处罚，未发生重大的风险性事件</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sz w:val="24"/>
                <w:szCs w:val="24"/>
                <w:lang w:val="en-US" w:eastAsia="zh-CN"/>
              </w:rPr>
              <w:t>1.2.5</w:t>
            </w:r>
            <w:r>
              <w:rPr>
                <w:rFonts w:hint="eastAsia" w:ascii="仿宋" w:hAnsi="仿宋" w:eastAsia="仿宋"/>
                <w:sz w:val="24"/>
                <w:szCs w:val="24"/>
              </w:rPr>
              <w:t>收单机构的收单产品、商户手续费率、存量商户基础在分行当地市场具有竞争优势</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sz w:val="24"/>
                <w:szCs w:val="24"/>
                <w:lang w:val="en-US" w:eastAsia="zh-CN"/>
              </w:rPr>
              <w:t>1.2.6</w:t>
            </w:r>
            <w:r>
              <w:rPr>
                <w:rFonts w:hint="eastAsia" w:ascii="仿宋" w:hAnsi="仿宋" w:eastAsia="仿宋"/>
                <w:sz w:val="24"/>
                <w:szCs w:val="24"/>
              </w:rPr>
              <w:t>合作的第三方收单机构具备完善的反洗钱和反恐怖融资内控机制</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r>
              <w:rPr>
                <w:rFonts w:hint="eastAsia" w:ascii="仿宋" w:hAnsi="仿宋" w:eastAsia="仿宋" w:cs="仿宋"/>
                <w:b/>
                <w:bCs/>
                <w:sz w:val="28"/>
                <w:szCs w:val="28"/>
              </w:rPr>
              <w:t>1.3</w:t>
            </w:r>
            <w:r>
              <w:rPr>
                <w:rFonts w:hint="eastAsia" w:ascii="仿宋" w:hAnsi="仿宋" w:eastAsia="仿宋" w:cs="仿宋"/>
                <w:b/>
                <w:bCs/>
                <w:sz w:val="28"/>
                <w:szCs w:val="28"/>
                <w:lang w:val="en-US" w:eastAsia="zh-CN"/>
              </w:rPr>
              <w:t>供应商资质</w:t>
            </w:r>
            <w:r>
              <w:rPr>
                <w:rFonts w:hint="eastAsia" w:ascii="仿宋" w:hAnsi="仿宋" w:eastAsia="仿宋" w:cs="仿宋"/>
                <w:b/>
                <w:bCs/>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sz w:val="24"/>
                <w:szCs w:val="24"/>
                <w:lang w:val="en-US" w:eastAsia="zh-CN"/>
              </w:rPr>
              <w:t>1.3.1 企业成立一年以上，财务稳健，可稳定提供服务</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sz w:val="24"/>
                <w:szCs w:val="24"/>
                <w:lang w:val="en-US" w:eastAsia="zh-CN"/>
              </w:rPr>
              <w:t>1.3.2 2022年至今与银行（国有六大行、12家全国性股份制银行）或其他银行（非国有六大行或非12家全国性股份制银行）合作开展过收单业务项目的成功案例</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sz w:val="24"/>
                <w:szCs w:val="24"/>
                <w:lang w:val="en-US" w:eastAsia="zh-CN"/>
              </w:rPr>
              <w:t>2.1在兴业银行开立对公账户，若中标本项目，则通过兴业银行对公账户结算该项目相关费用</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sz w:val="24"/>
                <w:szCs w:val="24"/>
                <w:lang w:val="en-US" w:eastAsia="zh-CN"/>
              </w:rPr>
              <w:t>2</w:t>
            </w:r>
            <w:r>
              <w:rPr>
                <w:rFonts w:hint="eastAsia" w:ascii="仿宋" w:hAnsi="仿宋" w:eastAsia="仿宋"/>
                <w:sz w:val="24"/>
                <w:szCs w:val="24"/>
              </w:rPr>
              <w:t>.2充分理解我行服务需求并能够根据需求提供相应的服务</w:t>
            </w:r>
            <w:bookmarkStart w:id="1" w:name="_GoBack"/>
            <w:bookmarkEnd w:id="1"/>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sz w:val="24"/>
                <w:szCs w:val="24"/>
                <w:lang w:val="en-US" w:eastAsia="zh-CN"/>
              </w:rPr>
              <w:t>2</w:t>
            </w:r>
            <w:r>
              <w:rPr>
                <w:rFonts w:hint="eastAsia" w:ascii="仿宋" w:hAnsi="仿宋" w:eastAsia="仿宋"/>
                <w:sz w:val="24"/>
                <w:szCs w:val="24"/>
              </w:rPr>
              <w:t>.3应具有良好的商业信誉和健全的财务会计制度</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sz w:val="24"/>
                <w:szCs w:val="24"/>
                <w:lang w:val="en-US" w:eastAsia="zh-CN"/>
              </w:rPr>
              <w:t>2</w:t>
            </w:r>
            <w:r>
              <w:rPr>
                <w:rFonts w:hint="eastAsia" w:ascii="仿宋" w:hAnsi="仿宋" w:eastAsia="仿宋"/>
                <w:sz w:val="24"/>
                <w:szCs w:val="24"/>
              </w:rPr>
              <w:t>.4未被“信用中国”网列入“重大税收违法案件当事人名单”、未被“中国执行信息公开网”列入“失信被执行人名单”、未被“中国政府采购网”列入“政府采购严重违法失信行为信息记录名单”、未被“国家企业信用信息公示系统”列入网站“严重违法失信企业名单”、在参加本次采购活动前3年内未出现重大违法违规行为，近三年在我行无不良行为记录，不在兴业银行供应商禁用/退出期内</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bl>
    <w:p>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近三年利润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pPr>
              <w:pStyle w:val="9"/>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《兴业银行</w:t>
      </w:r>
      <w:r>
        <w:rPr>
          <w:rFonts w:hint="eastAsia" w:ascii="仿宋" w:hAnsi="仿宋" w:eastAsia="仿宋" w:cs="仿宋"/>
          <w:b w:val="0"/>
          <w:bCs w:val="0"/>
          <w:sz w:val="32"/>
          <w:szCs w:val="32"/>
          <w:lang w:val="en-US" w:eastAsia="zh-CN"/>
        </w:rPr>
        <w:t>西宁</w:t>
      </w:r>
      <w:r>
        <w:rPr>
          <w:rFonts w:hint="eastAsia" w:ascii="仿宋" w:hAnsi="仿宋" w:eastAsia="仿宋" w:cs="仿宋"/>
          <w:b w:val="0"/>
          <w:bCs w:val="0"/>
          <w:sz w:val="32"/>
          <w:szCs w:val="32"/>
          <w:lang w:eastAsia="zh-CN"/>
        </w:rPr>
        <w:t>分行</w:t>
      </w:r>
      <w:r>
        <w:rPr>
          <w:rFonts w:hint="eastAsia" w:ascii="仿宋" w:hAnsi="仿宋" w:eastAsia="仿宋" w:cs="仿宋"/>
          <w:b w:val="0"/>
          <w:bCs w:val="0"/>
          <w:sz w:val="32"/>
          <w:szCs w:val="32"/>
          <w:lang w:val="en-US" w:eastAsia="zh-CN"/>
        </w:rPr>
        <w:t>关于第三方合作收单机构招标项目</w:t>
      </w:r>
      <w:r>
        <w:rPr>
          <w:rFonts w:hint="eastAsia" w:ascii="仿宋" w:hAnsi="仿宋" w:eastAsia="仿宋" w:cs="仿宋"/>
          <w:b w:val="0"/>
          <w:bCs w:val="0"/>
          <w:sz w:val="32"/>
          <w:szCs w:val="32"/>
        </w:rPr>
        <w:t>》相关案例情况：</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6"/>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4DE45C5"/>
    <w:rsid w:val="051748A4"/>
    <w:rsid w:val="07483193"/>
    <w:rsid w:val="0CE66283"/>
    <w:rsid w:val="0DED7F9F"/>
    <w:rsid w:val="13DD0D7A"/>
    <w:rsid w:val="31A50640"/>
    <w:rsid w:val="365B1D40"/>
    <w:rsid w:val="49C647CC"/>
    <w:rsid w:val="4F0F639B"/>
    <w:rsid w:val="503B1E49"/>
    <w:rsid w:val="56B05CD7"/>
    <w:rsid w:val="5966279D"/>
    <w:rsid w:val="5BAA7DDC"/>
    <w:rsid w:val="6EEB26D2"/>
    <w:rsid w:val="79330017"/>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HTML Preformatted"/>
    <w:basedOn w:val="1"/>
    <w:semiHidden/>
    <w:qFormat/>
    <w:uiPriority w:val="0"/>
    <w:pPr>
      <w:topLinePunct w:val="0"/>
    </w:pPr>
    <w:rPr>
      <w:rFonts w:ascii="Courier New" w:hAnsi="Courier New" w:cs="Courier New"/>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basedOn w:val="10"/>
    <w:qFormat/>
    <w:uiPriority w:val="0"/>
    <w:pPr>
      <w:widowControl/>
      <w:ind w:firstLine="420"/>
    </w:pPr>
    <w:rPr>
      <w:szCs w:val="20"/>
    </w:rPr>
  </w:style>
  <w:style w:type="paragraph" w:customStyle="1" w:styleId="10">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5</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陈桂叶</cp:lastModifiedBy>
  <dcterms:modified xsi:type="dcterms:W3CDTF">2025-03-12T12:00:16Z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