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E206C">
      <w:pPr>
        <w:pStyle w:val="18"/>
        <w:widowControl/>
        <w:spacing w:beforeAutospacing="0" w:afterAutospacing="0" w:line="360" w:lineRule="auto"/>
        <w:rPr>
          <w:rFonts w:ascii="宋体" w:cs="Times New Roman"/>
          <w:color w:val="auto"/>
          <w:sz w:val="32"/>
          <w:szCs w:val="32"/>
          <w:highlight w:val="none"/>
        </w:rPr>
      </w:pPr>
      <w:bookmarkStart w:id="295" w:name="_GoBack"/>
      <w:bookmarkEnd w:id="295"/>
      <w:r>
        <w:rPr>
          <w:rFonts w:hint="eastAsia" w:ascii="宋体" w:hAnsi="宋体" w:cs="宋体"/>
          <w:b/>
          <w:bCs/>
          <w:color w:val="auto"/>
          <w:sz w:val="32"/>
          <w:szCs w:val="32"/>
          <w:highlight w:val="none"/>
        </w:rPr>
        <w:t>采购项目编号∶</w:t>
      </w:r>
      <w:r>
        <w:rPr>
          <w:rFonts w:hint="eastAsia" w:ascii="宋体" w:hAnsi="宋体" w:cs="宋体"/>
          <w:b/>
          <w:bCs/>
          <w:color w:val="auto"/>
          <w:sz w:val="32"/>
          <w:szCs w:val="32"/>
          <w:highlight w:val="none"/>
          <w:u w:val="none"/>
          <w:lang w:eastAsia="zh-CN"/>
        </w:rPr>
        <w:t>上海容基询比(服务)2025-004</w:t>
      </w:r>
    </w:p>
    <w:p w14:paraId="32FC7029">
      <w:pPr>
        <w:pStyle w:val="18"/>
        <w:widowControl/>
        <w:spacing w:beforeAutospacing="0" w:afterAutospacing="0" w:line="360" w:lineRule="auto"/>
        <w:rPr>
          <w:rFonts w:ascii="宋体" w:cs="Times New Roman"/>
          <w:color w:val="auto"/>
          <w:highlight w:val="none"/>
        </w:rPr>
      </w:pPr>
    </w:p>
    <w:p w14:paraId="404FD929">
      <w:pPr>
        <w:pStyle w:val="9"/>
        <w:spacing w:after="0" w:line="360" w:lineRule="auto"/>
        <w:jc w:val="center"/>
        <w:rPr>
          <w:rFonts w:hint="eastAsia" w:ascii="宋体" w:hAnsi="宋体" w:cs="宋体"/>
          <w:b/>
          <w:bCs/>
          <w:color w:val="auto"/>
          <w:sz w:val="52"/>
          <w:szCs w:val="52"/>
          <w:highlight w:val="none"/>
          <w:lang w:eastAsia="zh-CN"/>
        </w:rPr>
      </w:pPr>
    </w:p>
    <w:p w14:paraId="264CDA50">
      <w:pPr>
        <w:pStyle w:val="9"/>
        <w:spacing w:after="0" w:line="360" w:lineRule="auto"/>
        <w:jc w:val="center"/>
        <w:rPr>
          <w:rFonts w:hint="eastAsia" w:ascii="宋体" w:hAnsi="宋体" w:cs="宋体"/>
          <w:b/>
          <w:bCs/>
          <w:color w:val="auto"/>
          <w:sz w:val="52"/>
          <w:szCs w:val="52"/>
          <w:highlight w:val="none"/>
          <w:lang w:eastAsia="zh-CN"/>
        </w:rPr>
      </w:pPr>
      <w:r>
        <w:rPr>
          <w:rFonts w:hint="eastAsia" w:ascii="宋体" w:hAnsi="宋体" w:cs="宋体"/>
          <w:b/>
          <w:bCs/>
          <w:color w:val="auto"/>
          <w:sz w:val="52"/>
          <w:szCs w:val="52"/>
          <w:highlight w:val="none"/>
          <w:lang w:eastAsia="zh-CN"/>
        </w:rPr>
        <w:t>青海民族大学东序校区清香餐厅引入社会餐饮企业经营采购项目</w:t>
      </w:r>
    </w:p>
    <w:p w14:paraId="23DDBC1B">
      <w:pPr>
        <w:pStyle w:val="9"/>
        <w:spacing w:after="0" w:line="360" w:lineRule="auto"/>
        <w:jc w:val="center"/>
        <w:rPr>
          <w:rFonts w:ascii="宋体" w:cs="Times New Roman"/>
          <w:color w:val="auto"/>
          <w:sz w:val="32"/>
          <w:szCs w:val="32"/>
          <w:highlight w:val="none"/>
        </w:rPr>
      </w:pPr>
      <w:r>
        <w:rPr>
          <w:rFonts w:hint="eastAsia" w:ascii="宋体" w:hAnsi="宋体" w:cs="宋体"/>
          <w:b/>
          <w:bCs/>
          <w:color w:val="auto"/>
          <w:sz w:val="52"/>
          <w:szCs w:val="52"/>
          <w:highlight w:val="none"/>
        </w:rPr>
        <w:t>询比采购文件</w:t>
      </w:r>
    </w:p>
    <w:p w14:paraId="690BD08A">
      <w:pPr>
        <w:pStyle w:val="9"/>
        <w:spacing w:after="0" w:line="360" w:lineRule="auto"/>
        <w:rPr>
          <w:rFonts w:ascii="宋体" w:cs="Times New Roman"/>
          <w:color w:val="auto"/>
          <w:sz w:val="28"/>
          <w:szCs w:val="28"/>
          <w:highlight w:val="none"/>
        </w:rPr>
      </w:pPr>
    </w:p>
    <w:p w14:paraId="7A9D0552">
      <w:pPr>
        <w:spacing w:line="360" w:lineRule="auto"/>
        <w:rPr>
          <w:rFonts w:ascii="宋体" w:cs="Times New Roman"/>
          <w:color w:val="auto"/>
          <w:highlight w:val="none"/>
        </w:rPr>
      </w:pPr>
    </w:p>
    <w:p w14:paraId="010F179D">
      <w:pPr>
        <w:pStyle w:val="18"/>
        <w:widowControl/>
        <w:spacing w:beforeAutospacing="0" w:afterAutospacing="0" w:line="360" w:lineRule="auto"/>
        <w:jc w:val="center"/>
        <w:rPr>
          <w:rFonts w:ascii="宋体" w:cs="Times New Roman"/>
          <w:color w:val="auto"/>
          <w:highlight w:val="none"/>
        </w:rPr>
      </w:pPr>
      <w:r>
        <w:rPr>
          <w:rFonts w:ascii="宋体" w:cs="Times New Roman"/>
          <w:color w:val="auto"/>
          <w:highlight w:val="none"/>
        </w:rPr>
        <w:drawing>
          <wp:inline distT="0" distB="0" distL="0" distR="0">
            <wp:extent cx="2600325" cy="2533650"/>
            <wp:effectExtent l="0" t="0" r="9525" b="0"/>
            <wp:docPr id="1026" name="图片 6" descr="89U}{X}H8)H3A7S)K{~UR%4"/>
            <wp:cNvGraphicFramePr/>
            <a:graphic xmlns:a="http://schemas.openxmlformats.org/drawingml/2006/main">
              <a:graphicData uri="http://schemas.openxmlformats.org/drawingml/2006/picture">
                <pic:pic xmlns:pic="http://schemas.openxmlformats.org/drawingml/2006/picture">
                  <pic:nvPicPr>
                    <pic:cNvPr id="1026" name="图片 6" descr="89U}{X}H8)H3A7S)K{~UR%4"/>
                    <pic:cNvPicPr/>
                  </pic:nvPicPr>
                  <pic:blipFill>
                    <a:blip r:embed="rId6" cstate="print"/>
                    <a:srcRect/>
                    <a:stretch>
                      <a:fillRect/>
                    </a:stretch>
                  </pic:blipFill>
                  <pic:spPr>
                    <a:xfrm>
                      <a:off x="0" y="0"/>
                      <a:ext cx="2600325" cy="2533650"/>
                    </a:xfrm>
                    <a:prstGeom prst="rect">
                      <a:avLst/>
                    </a:prstGeom>
                    <a:ln>
                      <a:noFill/>
                    </a:ln>
                  </pic:spPr>
                </pic:pic>
              </a:graphicData>
            </a:graphic>
          </wp:inline>
        </w:drawing>
      </w:r>
    </w:p>
    <w:p w14:paraId="31A6C19B">
      <w:pPr>
        <w:pStyle w:val="18"/>
        <w:widowControl/>
        <w:spacing w:beforeAutospacing="0" w:afterAutospacing="0" w:line="360" w:lineRule="auto"/>
        <w:jc w:val="both"/>
        <w:rPr>
          <w:rFonts w:ascii="宋体" w:cs="Times New Roman"/>
          <w:color w:val="auto"/>
          <w:highlight w:val="none"/>
        </w:rPr>
      </w:pPr>
    </w:p>
    <w:p w14:paraId="35289BB7">
      <w:pPr>
        <w:pStyle w:val="18"/>
        <w:widowControl/>
        <w:spacing w:beforeAutospacing="0" w:afterAutospacing="0" w:line="360" w:lineRule="auto"/>
        <w:jc w:val="both"/>
        <w:rPr>
          <w:rFonts w:ascii="宋体" w:cs="Times New Roman"/>
          <w:b/>
          <w:bCs/>
          <w:color w:val="auto"/>
          <w:sz w:val="48"/>
          <w:szCs w:val="48"/>
          <w:highlight w:val="none"/>
        </w:rPr>
      </w:pPr>
    </w:p>
    <w:p w14:paraId="33EC3B8C">
      <w:pPr>
        <w:pStyle w:val="18"/>
        <w:widowControl/>
        <w:spacing w:beforeAutospacing="0" w:afterAutospacing="0" w:line="360" w:lineRule="auto"/>
        <w:rPr>
          <w:rFonts w:hint="eastAsia" w:ascii="宋体" w:eastAsia="宋体" w:cs="Times New Roman"/>
          <w:color w:val="auto"/>
          <w:sz w:val="32"/>
          <w:szCs w:val="32"/>
          <w:highlight w:val="none"/>
          <w:u w:val="single"/>
          <w:lang w:eastAsia="zh-CN"/>
        </w:rPr>
      </w:pPr>
      <w:r>
        <w:rPr>
          <w:rFonts w:hint="eastAsia" w:ascii="宋体" w:hAnsi="宋体" w:cs="宋体"/>
          <w:color w:val="auto"/>
          <w:sz w:val="32"/>
          <w:szCs w:val="32"/>
          <w:highlight w:val="none"/>
        </w:rPr>
        <w:t>采</w:t>
      </w:r>
      <w:r>
        <w:rPr>
          <w:rFonts w:ascii="宋体" w:hAnsi="宋体" w:cs="宋体"/>
          <w:color w:val="auto"/>
          <w:sz w:val="32"/>
          <w:szCs w:val="32"/>
          <w:highlight w:val="none"/>
        </w:rPr>
        <w:t xml:space="preserve">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购</w:t>
      </w:r>
      <w:r>
        <w:rPr>
          <w:rFonts w:ascii="宋体" w:hAnsi="宋体" w:cs="宋体"/>
          <w:color w:val="auto"/>
          <w:sz w:val="32"/>
          <w:szCs w:val="32"/>
          <w:highlight w:val="none"/>
        </w:rPr>
        <w:t xml:space="preserve">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人：</w:t>
      </w:r>
      <w:r>
        <w:rPr>
          <w:rFonts w:hint="eastAsia" w:ascii="宋体" w:hAnsi="宋体" w:cs="宋体"/>
          <w:color w:val="auto"/>
          <w:sz w:val="32"/>
          <w:szCs w:val="32"/>
          <w:highlight w:val="none"/>
          <w:u w:val="single"/>
          <w:lang w:eastAsia="zh-CN"/>
        </w:rPr>
        <w:t>青海民族大学</w:t>
      </w:r>
    </w:p>
    <w:p w14:paraId="406A5F36">
      <w:pPr>
        <w:pStyle w:val="18"/>
        <w:widowControl/>
        <w:spacing w:beforeAutospacing="0" w:afterAutospacing="0" w:line="360" w:lineRule="auto"/>
        <w:rPr>
          <w:rFonts w:ascii="宋体" w:cs="Times New Roman"/>
          <w:color w:val="auto"/>
          <w:sz w:val="32"/>
          <w:szCs w:val="32"/>
          <w:highlight w:val="none"/>
          <w:u w:val="single"/>
        </w:rPr>
      </w:pPr>
      <w:r>
        <w:rPr>
          <w:rFonts w:hint="eastAsia" w:ascii="宋体" w:hAnsi="宋体" w:cs="宋体"/>
          <w:color w:val="auto"/>
          <w:sz w:val="32"/>
          <w:szCs w:val="32"/>
          <w:highlight w:val="none"/>
        </w:rPr>
        <w:t>采购代理机构：</w:t>
      </w:r>
      <w:r>
        <w:rPr>
          <w:rFonts w:hint="eastAsia" w:ascii="宋体" w:hAnsi="宋体" w:cs="宋体"/>
          <w:color w:val="auto"/>
          <w:sz w:val="32"/>
          <w:szCs w:val="32"/>
          <w:highlight w:val="none"/>
          <w:u w:val="single"/>
        </w:rPr>
        <w:t>上海容基工程项目管理有限公司</w:t>
      </w:r>
    </w:p>
    <w:p w14:paraId="3860E7DD">
      <w:pPr>
        <w:pStyle w:val="18"/>
        <w:widowControl/>
        <w:spacing w:beforeAutospacing="0" w:afterAutospacing="0" w:line="360" w:lineRule="auto"/>
        <w:ind w:firstLine="840" w:firstLineChars="300"/>
        <w:jc w:val="center"/>
        <w:rPr>
          <w:rFonts w:ascii="宋体" w:cs="Times New Roman"/>
          <w:color w:val="auto"/>
          <w:sz w:val="28"/>
          <w:szCs w:val="28"/>
          <w:highlight w:val="none"/>
        </w:rPr>
      </w:pPr>
      <w:r>
        <w:rPr>
          <w:rFonts w:ascii="宋体" w:hAnsi="宋体" w:cs="宋体"/>
          <w:color w:val="auto"/>
          <w:sz w:val="28"/>
          <w:szCs w:val="28"/>
          <w:highlight w:val="none"/>
        </w:rPr>
        <w:t>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w:t>
      </w:r>
    </w:p>
    <w:p w14:paraId="771E9430">
      <w:pPr>
        <w:spacing w:line="360" w:lineRule="auto"/>
        <w:rPr>
          <w:rFonts w:ascii="宋体" w:cs="Times New Roman"/>
          <w:color w:val="auto"/>
          <w:highlight w:val="none"/>
        </w:rPr>
      </w:pPr>
      <w:r>
        <w:rPr>
          <w:rFonts w:ascii="宋体" w:cs="Times New Roman"/>
          <w:color w:val="auto"/>
          <w:highlight w:val="none"/>
        </w:rPr>
        <w:br w:type="page"/>
      </w:r>
    </w:p>
    <w:p w14:paraId="22635357">
      <w:pPr>
        <w:pStyle w:val="18"/>
        <w:widowControl/>
        <w:spacing w:beforeAutospacing="0" w:afterAutospacing="0" w:line="360" w:lineRule="auto"/>
        <w:jc w:val="center"/>
        <w:rPr>
          <w:rFonts w:ascii="宋体" w:cs="Times New Roman"/>
          <w:color w:val="auto"/>
          <w:sz w:val="44"/>
          <w:szCs w:val="44"/>
          <w:highlight w:val="none"/>
        </w:rPr>
      </w:pPr>
      <w:r>
        <w:rPr>
          <w:rFonts w:hint="eastAsia" w:ascii="宋体" w:hAnsi="宋体" w:cs="宋体"/>
          <w:color w:val="auto"/>
          <w:sz w:val="44"/>
          <w:szCs w:val="44"/>
          <w:highlight w:val="none"/>
        </w:rPr>
        <w:t>目</w:t>
      </w:r>
      <w:r>
        <w:rPr>
          <w:rFonts w:ascii="宋体" w:hAnsi="宋体" w:cs="宋体"/>
          <w:color w:val="auto"/>
          <w:sz w:val="44"/>
          <w:szCs w:val="44"/>
          <w:highlight w:val="none"/>
        </w:rPr>
        <w:t xml:space="preserve"> </w:t>
      </w:r>
      <w:r>
        <w:rPr>
          <w:rFonts w:hint="eastAsia" w:ascii="宋体" w:hAnsi="宋体" w:cs="宋体"/>
          <w:color w:val="auto"/>
          <w:sz w:val="44"/>
          <w:szCs w:val="44"/>
          <w:highlight w:val="none"/>
        </w:rPr>
        <w:t>录</w:t>
      </w:r>
    </w:p>
    <w:p w14:paraId="56D2BB48">
      <w:pPr>
        <w:pStyle w:val="16"/>
        <w:tabs>
          <w:tab w:val="right" w:leader="dot" w:pos="9746"/>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_Toc27187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询比采购公告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_Toc27187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3A1E65EA">
      <w:pPr>
        <w:pStyle w:val="17"/>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_Toc516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 采购项目简介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013B3E8F">
      <w:pPr>
        <w:pStyle w:val="16"/>
        <w:tabs>
          <w:tab w:val="right" w:leader="dot" w:pos="9746"/>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_Toc6116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询比响应人须知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_Toc6116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2BA04ECB">
      <w:pPr>
        <w:pStyle w:val="17"/>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_Toc31769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 总则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_Toc31769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0D104278">
      <w:pPr>
        <w:pStyle w:val="17"/>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_Toc13342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2采购文件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_Toc13342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76AFEB56">
      <w:pPr>
        <w:pStyle w:val="17"/>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_Toc27224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_Toc27224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32DA6E76">
      <w:pPr>
        <w:pStyle w:val="17"/>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_Toc4988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 响应文件的递交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_Toc4988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52D278EE">
      <w:pPr>
        <w:pStyle w:val="17"/>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 开启响应文件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_Toc16520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29BB0636">
      <w:pPr>
        <w:pStyle w:val="17"/>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_Toc23592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 评审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_Toc23592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01703D07">
      <w:pPr>
        <w:pStyle w:val="17"/>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 合同授予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_Toc3182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453E393A">
      <w:pPr>
        <w:pStyle w:val="17"/>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_Toc28641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 异议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_Toc28641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45250542">
      <w:pPr>
        <w:pStyle w:val="17"/>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_Toc12200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9纪律要求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_Toc12200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40356EE4">
      <w:pPr>
        <w:pStyle w:val="17"/>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 需要补充的其他内容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_Toc7454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77FC0442">
      <w:pPr>
        <w:pStyle w:val="16"/>
        <w:tabs>
          <w:tab w:val="right" w:leader="dot" w:pos="9746"/>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_Toc9628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第三章  评审办法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_Toc9628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3AB58851">
      <w:pPr>
        <w:pStyle w:val="17"/>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_Toc16887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1评审方法（综合评分法）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_Toc16887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0C15DDFD">
      <w:pPr>
        <w:pStyle w:val="17"/>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_Toc18390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2初步评审标准和程序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_Toc18390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20C59908">
      <w:pPr>
        <w:pStyle w:val="17"/>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_Toc6873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3详细评审标准和程序(最低价法)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_Toc6873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528A9EB5">
      <w:pPr>
        <w:pStyle w:val="17"/>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_Toc27680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3详细评审标准和程序(综合评分法)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_Toc27680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5ECAE4CA">
      <w:pPr>
        <w:pStyle w:val="17"/>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_Toc28877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4评审结果</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_Toc28877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1A806F15">
      <w:pPr>
        <w:pStyle w:val="17"/>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_Toc13036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5直接转换采购方式评审程序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_Toc13036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66E033CA">
      <w:pPr>
        <w:pStyle w:val="16"/>
        <w:tabs>
          <w:tab w:val="right" w:leader="dot" w:pos="9746"/>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_Toc3847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合同条款及格式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_Toc3847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28060FA9">
      <w:pPr>
        <w:pStyle w:val="16"/>
        <w:tabs>
          <w:tab w:val="right" w:leader="dot" w:pos="9746"/>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_Toc17197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采购需求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_Toc17197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76F41D6A">
      <w:pPr>
        <w:pStyle w:val="16"/>
        <w:tabs>
          <w:tab w:val="right" w:leader="dot" w:pos="9746"/>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_Toc10381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_Toc10381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1817C232">
      <w:pPr>
        <w:pStyle w:val="16"/>
        <w:tabs>
          <w:tab w:val="right" w:leader="dot" w:pos="974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_Toc28756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—、响应函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_Toc28756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68A5F0B">
      <w:pPr>
        <w:pStyle w:val="16"/>
        <w:tabs>
          <w:tab w:val="right" w:leader="dot" w:pos="974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_Toc8267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二、授权委托书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_Toc8267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881D8F7">
      <w:pPr>
        <w:pStyle w:val="16"/>
        <w:tabs>
          <w:tab w:val="right" w:leader="dot" w:pos="974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_Toc7846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三、联合体协议书（不适用）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_Toc7846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12AC4C2">
      <w:pPr>
        <w:pStyle w:val="16"/>
        <w:tabs>
          <w:tab w:val="right" w:leader="dot" w:pos="974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_Toc20927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四、响应保证金</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_Toc20927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F47C530">
      <w:pPr>
        <w:pStyle w:val="16"/>
        <w:tabs>
          <w:tab w:val="right" w:leader="dot" w:pos="974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_Toc25378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五、商务和技术偏差表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_Toc25378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667F648">
      <w:pPr>
        <w:pStyle w:val="16"/>
        <w:tabs>
          <w:tab w:val="right" w:leader="dot" w:pos="974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_Toc20321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六、服务响应表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_Toc20321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DC3881">
      <w:pPr>
        <w:pStyle w:val="16"/>
        <w:tabs>
          <w:tab w:val="right" w:leader="dot" w:pos="974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七、资格审查资料</w:t>
      </w:r>
      <w:r>
        <w:rPr>
          <w:rFonts w:hint="eastAsia" w:ascii="宋体" w:hAnsi="宋体" w:eastAsia="宋体" w:cs="宋体"/>
          <w:color w:val="auto"/>
          <w:sz w:val="24"/>
          <w:szCs w:val="24"/>
          <w:highlight w:val="none"/>
          <w:lang w:eastAsia="en-US"/>
        </w:rPr>
        <w:t>(C)</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DAA6F9F">
      <w:pPr>
        <w:pStyle w:val="16"/>
        <w:tabs>
          <w:tab w:val="right" w:leader="dot" w:pos="974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_Toc19473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八、响应方案(C)</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_Toc19473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71F9778">
      <w:pPr>
        <w:pStyle w:val="16"/>
        <w:tabs>
          <w:tab w:val="right" w:leader="dot" w:pos="974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九、其他资料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DF0064">
      <w:pPr>
        <w:pStyle w:val="18"/>
        <w:widowControl/>
        <w:spacing w:beforeAutospacing="0" w:afterAutospacing="0" w:line="360" w:lineRule="auto"/>
        <w:rPr>
          <w:rFonts w:ascii="宋体" w:cs="Times New Roman"/>
          <w:b/>
          <w:bCs/>
          <w:color w:val="auto"/>
          <w:sz w:val="44"/>
          <w:szCs w:val="44"/>
          <w:highlight w:val="none"/>
        </w:rPr>
      </w:pPr>
      <w:r>
        <w:rPr>
          <w:rFonts w:hint="eastAsia" w:ascii="宋体" w:hAnsi="宋体" w:eastAsia="宋体" w:cs="宋体"/>
          <w:color w:val="auto"/>
          <w:sz w:val="24"/>
          <w:szCs w:val="24"/>
          <w:highlight w:val="none"/>
        </w:rPr>
        <w:fldChar w:fldCharType="end"/>
      </w:r>
      <w:r>
        <w:rPr>
          <w:rFonts w:ascii="宋体" w:cs="Times New Roman"/>
          <w:color w:val="auto"/>
          <w:highlight w:val="none"/>
        </w:rPr>
        <w:br w:type="page"/>
      </w:r>
    </w:p>
    <w:p w14:paraId="2BCBC30E">
      <w:pPr>
        <w:pStyle w:val="2"/>
        <w:spacing w:line="360" w:lineRule="auto"/>
        <w:rPr>
          <w:rFonts w:ascii="宋体" w:cs="Times New Roman"/>
          <w:color w:val="auto"/>
          <w:spacing w:val="20"/>
          <w:highlight w:val="none"/>
        </w:rPr>
      </w:pPr>
      <w:bookmarkStart w:id="0" w:name="_Toc27187"/>
      <w:r>
        <w:rPr>
          <w:rFonts w:hint="eastAsia" w:ascii="宋体" w:hAnsi="宋体" w:cs="宋体"/>
          <w:color w:val="auto"/>
          <w:highlight w:val="none"/>
        </w:rPr>
        <w:t>第一章</w:t>
      </w:r>
      <w:r>
        <w:rPr>
          <w:rFonts w:ascii="宋体" w:hAnsi="宋体" w:cs="宋体"/>
          <w:color w:val="auto"/>
          <w:highlight w:val="none"/>
        </w:rPr>
        <w:t xml:space="preserve">  </w:t>
      </w:r>
      <w:r>
        <w:rPr>
          <w:rFonts w:hint="eastAsia" w:ascii="宋体" w:hAnsi="宋体" w:cs="宋体"/>
          <w:color w:val="auto"/>
          <w:highlight w:val="none"/>
        </w:rPr>
        <w:t>询比采购公告</w:t>
      </w:r>
      <w:bookmarkEnd w:id="0"/>
    </w:p>
    <w:p w14:paraId="03CCB465">
      <w:pPr>
        <w:spacing w:line="360" w:lineRule="auto"/>
        <w:jc w:val="center"/>
        <w:rPr>
          <w:rFonts w:ascii="宋体" w:cs="Times New Roman"/>
          <w:color w:val="auto"/>
          <w:spacing w:val="20"/>
          <w:sz w:val="32"/>
          <w:szCs w:val="32"/>
          <w:highlight w:val="none"/>
        </w:rPr>
      </w:pPr>
    </w:p>
    <w:p w14:paraId="56EF9BCA">
      <w:pPr>
        <w:spacing w:line="360" w:lineRule="auto"/>
        <w:jc w:val="center"/>
        <w:rPr>
          <w:rFonts w:ascii="宋体" w:cs="Times New Roman"/>
          <w:color w:val="auto"/>
          <w:spacing w:val="20"/>
          <w:sz w:val="32"/>
          <w:szCs w:val="32"/>
          <w:highlight w:val="none"/>
        </w:rPr>
      </w:pPr>
      <w:r>
        <w:rPr>
          <w:rFonts w:hint="eastAsia" w:ascii="宋体" w:hAnsi="宋体" w:cs="宋体"/>
          <w:color w:val="auto"/>
          <w:spacing w:val="20"/>
          <w:sz w:val="32"/>
          <w:szCs w:val="32"/>
          <w:highlight w:val="none"/>
        </w:rPr>
        <w:t>（适用于公告邀请询比响应人方式）</w:t>
      </w:r>
    </w:p>
    <w:p w14:paraId="3A7CD534">
      <w:pPr>
        <w:spacing w:line="360" w:lineRule="auto"/>
        <w:rPr>
          <w:rFonts w:ascii="宋体" w:cs="Times New Roman"/>
          <w:color w:val="auto"/>
          <w:sz w:val="36"/>
          <w:szCs w:val="36"/>
          <w:highlight w:val="none"/>
          <w:u w:val="single"/>
        </w:rPr>
      </w:pPr>
      <w:r>
        <w:rPr>
          <w:rFonts w:ascii="宋体" w:cs="Times New Roman"/>
          <w:color w:val="auto"/>
          <w:sz w:val="32"/>
          <w:szCs w:val="32"/>
          <w:highlight w:val="none"/>
        </w:rPr>
        <w:br w:type="page"/>
      </w:r>
    </w:p>
    <w:p w14:paraId="0D84E500">
      <w:pPr>
        <w:pStyle w:val="18"/>
        <w:widowControl/>
        <w:spacing w:beforeAutospacing="0" w:afterAutospacing="0" w:line="360" w:lineRule="auto"/>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青海民族大学东序校区清香餐厅引入社会餐饮企业经营采购项目</w:t>
      </w:r>
    </w:p>
    <w:p w14:paraId="7165F9D4">
      <w:pPr>
        <w:pStyle w:val="18"/>
        <w:widowControl/>
        <w:spacing w:beforeAutospacing="0" w:afterAutospacing="0" w:line="360" w:lineRule="auto"/>
        <w:jc w:val="center"/>
        <w:rPr>
          <w:rFonts w:ascii="宋体" w:cs="Times New Roman"/>
          <w:b/>
          <w:bCs/>
          <w:color w:val="auto"/>
          <w:sz w:val="32"/>
          <w:szCs w:val="32"/>
          <w:highlight w:val="none"/>
        </w:rPr>
      </w:pPr>
      <w:r>
        <w:rPr>
          <w:rFonts w:hint="eastAsia" w:ascii="宋体" w:hAnsi="宋体" w:cs="宋体"/>
          <w:b/>
          <w:bCs/>
          <w:color w:val="auto"/>
          <w:sz w:val="32"/>
          <w:szCs w:val="32"/>
          <w:highlight w:val="none"/>
        </w:rPr>
        <w:t>询比采购公告</w:t>
      </w:r>
    </w:p>
    <w:p w14:paraId="7D2D0ACB">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u w:val="single"/>
          <w:lang w:eastAsia="zh-CN"/>
        </w:rPr>
        <w:t>青海民族大学东序校区清香餐厅引入社会餐饮企业经营采购项目</w:t>
      </w:r>
      <w:r>
        <w:rPr>
          <w:rFonts w:hint="eastAsia" w:ascii="宋体" w:hAnsi="宋体" w:cs="宋体"/>
          <w:color w:val="auto"/>
          <w:highlight w:val="none"/>
        </w:rPr>
        <w:t>已具备采购条件，现公开邀请询比响应人参加询比采购活动。</w:t>
      </w:r>
    </w:p>
    <w:p w14:paraId="73495A1F">
      <w:pPr>
        <w:pStyle w:val="3"/>
        <w:rPr>
          <w:rFonts w:ascii="宋体" w:cs="Times New Roman"/>
          <w:color w:val="auto"/>
          <w:highlight w:val="none"/>
        </w:rPr>
      </w:pPr>
      <w:bookmarkStart w:id="1" w:name="_Toc31672"/>
      <w:bookmarkStart w:id="2" w:name="_Toc516"/>
      <w:r>
        <w:rPr>
          <w:rFonts w:ascii="宋体" w:hAnsi="宋体" w:cs="宋体"/>
          <w:color w:val="auto"/>
          <w:highlight w:val="none"/>
        </w:rPr>
        <w:t xml:space="preserve">1 </w:t>
      </w:r>
      <w:r>
        <w:rPr>
          <w:rFonts w:hint="eastAsia" w:ascii="宋体" w:hAnsi="宋体" w:cs="宋体"/>
          <w:color w:val="auto"/>
          <w:highlight w:val="none"/>
        </w:rPr>
        <w:t>采购项目简介</w:t>
      </w:r>
      <w:bookmarkEnd w:id="1"/>
      <w:bookmarkEnd w:id="2"/>
    </w:p>
    <w:p w14:paraId="4FD587D1">
      <w:pPr>
        <w:pStyle w:val="18"/>
        <w:widowControl/>
        <w:spacing w:beforeAutospacing="0" w:afterAutospacing="0" w:line="360" w:lineRule="auto"/>
        <w:rPr>
          <w:rFonts w:hint="eastAsia" w:ascii="宋体" w:hAnsi="宋体" w:cs="宋体"/>
          <w:color w:val="auto"/>
          <w:highlight w:val="none"/>
          <w:u w:val="single"/>
          <w:lang w:eastAsia="zh-CN"/>
        </w:rPr>
      </w:pPr>
      <w:r>
        <w:rPr>
          <w:rFonts w:ascii="宋体" w:hAnsi="宋体" w:cs="宋体"/>
          <w:color w:val="auto"/>
          <w:highlight w:val="none"/>
        </w:rPr>
        <w:t>1.1</w:t>
      </w:r>
      <w:r>
        <w:rPr>
          <w:rFonts w:hint="eastAsia" w:ascii="宋体" w:hAnsi="宋体" w:cs="宋体"/>
          <w:color w:val="auto"/>
          <w:highlight w:val="none"/>
        </w:rPr>
        <w:t>采购项目名称∶</w:t>
      </w:r>
      <w:r>
        <w:rPr>
          <w:rFonts w:hint="eastAsia" w:ascii="宋体" w:hAnsi="宋体" w:cs="宋体"/>
          <w:color w:val="auto"/>
          <w:highlight w:val="none"/>
          <w:u w:val="single"/>
          <w:lang w:eastAsia="zh-CN"/>
        </w:rPr>
        <w:t>青海民族大学东序校区清香餐厅引入社会餐饮企业经营采购项目</w:t>
      </w:r>
    </w:p>
    <w:p w14:paraId="596B8EEF">
      <w:pPr>
        <w:pStyle w:val="18"/>
        <w:widowControl/>
        <w:spacing w:beforeAutospacing="0" w:afterAutospacing="0" w:line="360" w:lineRule="auto"/>
        <w:rPr>
          <w:rFonts w:ascii="宋体" w:cs="Times New Roman"/>
          <w:color w:val="auto"/>
          <w:highlight w:val="none"/>
          <w:u w:val="single"/>
        </w:rPr>
      </w:pPr>
      <w:r>
        <w:rPr>
          <w:rFonts w:ascii="宋体" w:hAnsi="宋体" w:cs="宋体"/>
          <w:color w:val="auto"/>
          <w:highlight w:val="none"/>
        </w:rPr>
        <w:t>1.2</w:t>
      </w:r>
      <w:r>
        <w:rPr>
          <w:rFonts w:hint="eastAsia" w:ascii="宋体" w:hAnsi="宋体" w:cs="宋体"/>
          <w:color w:val="auto"/>
          <w:highlight w:val="none"/>
        </w:rPr>
        <w:t>采购人∶</w:t>
      </w:r>
      <w:r>
        <w:rPr>
          <w:rFonts w:hint="eastAsia" w:ascii="宋体" w:hAnsi="宋体" w:cs="宋体"/>
          <w:color w:val="auto"/>
          <w:highlight w:val="none"/>
          <w:lang w:val="en-US" w:eastAsia="zh-CN"/>
        </w:rPr>
        <w:t xml:space="preserve"> </w:t>
      </w:r>
      <w:r>
        <w:rPr>
          <w:rFonts w:hint="eastAsia" w:ascii="宋体" w:hAnsi="宋体" w:cs="宋体"/>
          <w:color w:val="auto"/>
          <w:highlight w:val="none"/>
          <w:u w:val="single"/>
          <w:lang w:eastAsia="zh-CN"/>
        </w:rPr>
        <w:t>青海民族大学</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rPr>
        <w:t xml:space="preserve">      </w:t>
      </w:r>
    </w:p>
    <w:p w14:paraId="39786FDB">
      <w:pPr>
        <w:pStyle w:val="18"/>
        <w:widowControl/>
        <w:spacing w:beforeAutospacing="0" w:afterAutospacing="0" w:line="360" w:lineRule="auto"/>
        <w:rPr>
          <w:rFonts w:hint="default" w:ascii="宋体" w:eastAsia="宋体" w:cs="Times New Roman"/>
          <w:color w:val="auto"/>
          <w:highlight w:val="none"/>
          <w:u w:val="single"/>
          <w:lang w:val="en-US" w:eastAsia="zh-CN"/>
        </w:rPr>
      </w:pPr>
      <w:r>
        <w:rPr>
          <w:rFonts w:ascii="宋体" w:hAnsi="宋体" w:cs="宋体"/>
          <w:color w:val="auto"/>
          <w:highlight w:val="none"/>
        </w:rPr>
        <w:t>1.3</w:t>
      </w:r>
      <w:r>
        <w:rPr>
          <w:rFonts w:hint="eastAsia" w:ascii="宋体" w:hAnsi="宋体" w:cs="宋体"/>
          <w:color w:val="auto"/>
          <w:highlight w:val="none"/>
        </w:rPr>
        <w:t>采购代理机构∶</w:t>
      </w:r>
      <w:r>
        <w:rPr>
          <w:rFonts w:hint="eastAsia" w:ascii="宋体" w:hAnsi="宋体" w:cs="宋体"/>
          <w:color w:val="auto"/>
          <w:highlight w:val="none"/>
          <w:u w:val="single"/>
        </w:rPr>
        <w:t>上海容基工程项目管理有限公司</w:t>
      </w:r>
      <w:r>
        <w:rPr>
          <w:rFonts w:hint="eastAsia" w:ascii="宋体" w:hAnsi="宋体" w:cs="宋体"/>
          <w:color w:val="auto"/>
          <w:highlight w:val="none"/>
          <w:u w:val="single"/>
          <w:lang w:val="en-US" w:eastAsia="zh-CN"/>
        </w:rPr>
        <w:t xml:space="preserve">    </w:t>
      </w:r>
    </w:p>
    <w:p w14:paraId="3B68A271">
      <w:pPr>
        <w:pStyle w:val="9"/>
        <w:spacing w:line="360" w:lineRule="auto"/>
        <w:rPr>
          <w:rFonts w:ascii="宋体" w:cs="Times New Roman"/>
          <w:color w:val="auto"/>
          <w:kern w:val="0"/>
          <w:sz w:val="24"/>
          <w:szCs w:val="24"/>
          <w:highlight w:val="none"/>
        </w:rPr>
      </w:pPr>
      <w:r>
        <w:rPr>
          <w:rFonts w:ascii="宋体" w:hAnsi="宋体" w:cs="宋体"/>
          <w:color w:val="auto"/>
          <w:kern w:val="0"/>
          <w:sz w:val="24"/>
          <w:szCs w:val="24"/>
          <w:highlight w:val="none"/>
        </w:rPr>
        <w:t>1.4</w:t>
      </w:r>
      <w:r>
        <w:rPr>
          <w:rFonts w:hint="eastAsia" w:ascii="宋体" w:hAnsi="宋体" w:cs="宋体"/>
          <w:color w:val="auto"/>
          <w:kern w:val="0"/>
          <w:sz w:val="24"/>
          <w:szCs w:val="24"/>
          <w:highlight w:val="none"/>
        </w:rPr>
        <w:t>采购项目编号∶</w:t>
      </w:r>
      <w:r>
        <w:rPr>
          <w:rFonts w:hint="eastAsia" w:ascii="宋体" w:hAnsi="宋体" w:cs="宋体"/>
          <w:color w:val="auto"/>
          <w:kern w:val="0"/>
          <w:sz w:val="24"/>
          <w:szCs w:val="24"/>
          <w:highlight w:val="none"/>
          <w:u w:val="single"/>
          <w:lang w:eastAsia="zh-CN"/>
        </w:rPr>
        <w:t>上海容基询比(服务)2025-004</w:t>
      </w:r>
      <w:r>
        <w:rPr>
          <w:rFonts w:ascii="宋体" w:hAnsi="宋体" w:cs="宋体"/>
          <w:color w:val="auto"/>
          <w:kern w:val="0"/>
          <w:sz w:val="24"/>
          <w:szCs w:val="24"/>
          <w:highlight w:val="none"/>
          <w:u w:val="single"/>
        </w:rPr>
        <w:t xml:space="preserve">    </w:t>
      </w:r>
    </w:p>
    <w:p w14:paraId="1A199173">
      <w:pPr>
        <w:pStyle w:val="9"/>
        <w:rPr>
          <w:rFonts w:hint="default" w:ascii="宋体" w:cs="Times New Roman"/>
          <w:color w:val="auto"/>
          <w:highlight w:val="none"/>
          <w:u w:val="single"/>
          <w:lang w:val="en-US"/>
        </w:rPr>
      </w:pP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采购预算额度</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u w:val="single"/>
          <w:lang w:val="en-US" w:eastAsia="zh-CN"/>
        </w:rPr>
        <w:t xml:space="preserve">        0元        </w:t>
      </w:r>
    </w:p>
    <w:p w14:paraId="37A19A4F">
      <w:pPr>
        <w:pStyle w:val="18"/>
        <w:widowControl/>
        <w:spacing w:beforeAutospacing="0" w:afterAutospacing="0" w:line="360" w:lineRule="auto"/>
        <w:rPr>
          <w:rFonts w:ascii="宋体" w:cs="Times New Roman"/>
          <w:color w:val="auto"/>
          <w:highlight w:val="none"/>
          <w:u w:val="single"/>
        </w:rPr>
      </w:pPr>
      <w:r>
        <w:rPr>
          <w:rFonts w:ascii="宋体" w:hAnsi="宋体" w:cs="宋体"/>
          <w:color w:val="auto"/>
          <w:highlight w:val="none"/>
        </w:rPr>
        <w:t>1.6</w:t>
      </w:r>
      <w:r>
        <w:rPr>
          <w:rFonts w:hint="eastAsia" w:ascii="宋体" w:hAnsi="宋体" w:cs="宋体"/>
          <w:color w:val="auto"/>
          <w:highlight w:val="none"/>
        </w:rPr>
        <w:t>采购服务范围、内容及要求：</w:t>
      </w:r>
      <w:r>
        <w:rPr>
          <w:rFonts w:hint="eastAsia" w:ascii="宋体" w:hAnsi="宋体" w:cs="宋体"/>
          <w:color w:val="auto"/>
          <w:highlight w:val="none"/>
          <w:u w:val="single"/>
          <w:lang w:eastAsia="zh-CN"/>
        </w:rPr>
        <w:t>青海民族大学东序校区清香餐厅引入社会餐饮企业经营采购项目</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具体内容详见询比采购文件。</w:t>
      </w:r>
    </w:p>
    <w:p w14:paraId="169C632D">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1.7</w:t>
      </w:r>
      <w:r>
        <w:rPr>
          <w:rFonts w:hint="eastAsia" w:ascii="宋体" w:hAnsi="宋体" w:cs="宋体"/>
          <w:color w:val="auto"/>
          <w:highlight w:val="none"/>
        </w:rPr>
        <w:t>成交询比响应人数量及成交份额∶</w:t>
      </w:r>
      <w:r>
        <w:rPr>
          <w:rFonts w:hint="eastAsia" w:ascii="宋体" w:hAnsi="宋体" w:cs="宋体"/>
          <w:color w:val="auto"/>
          <w:highlight w:val="none"/>
        </w:rPr>
        <w:sym w:font="Wingdings" w:char="00FE"/>
      </w:r>
      <w:r>
        <w:rPr>
          <w:rFonts w:hint="eastAsia" w:ascii="宋体" w:hAnsi="宋体" w:cs="宋体"/>
          <w:color w:val="auto"/>
          <w:highlight w:val="none"/>
        </w:rPr>
        <w:t>一家</w:t>
      </w:r>
    </w:p>
    <w:p w14:paraId="69B57E4B">
      <w:pPr>
        <w:pStyle w:val="3"/>
        <w:jc w:val="left"/>
        <w:rPr>
          <w:rFonts w:ascii="宋体" w:cs="Times New Roman"/>
          <w:color w:val="auto"/>
          <w:highlight w:val="none"/>
        </w:rPr>
      </w:pPr>
      <w:bookmarkStart w:id="3" w:name="_Toc7927"/>
      <w:bookmarkStart w:id="4" w:name="_Toc1403"/>
      <w:bookmarkStart w:id="5" w:name="_Toc28087"/>
      <w:bookmarkStart w:id="6" w:name="_Toc16803"/>
      <w:bookmarkStart w:id="7" w:name="_Toc6778"/>
      <w:r>
        <w:rPr>
          <w:rFonts w:ascii="宋体" w:hAnsi="宋体" w:cs="宋体"/>
          <w:color w:val="auto"/>
          <w:highlight w:val="none"/>
        </w:rPr>
        <w:t>2</w:t>
      </w:r>
      <w:r>
        <w:rPr>
          <w:rFonts w:hint="eastAsia" w:ascii="宋体" w:hAnsi="宋体" w:cs="宋体"/>
          <w:color w:val="auto"/>
          <w:highlight w:val="none"/>
        </w:rPr>
        <w:t>采购范围及相关要求（</w:t>
      </w:r>
      <w:r>
        <w:rPr>
          <w:rFonts w:ascii="宋体" w:hAnsi="宋体" w:cs="宋体"/>
          <w:color w:val="auto"/>
          <w:highlight w:val="none"/>
        </w:rPr>
        <w:t>A</w:t>
      </w:r>
      <w:r>
        <w:rPr>
          <w:rFonts w:hint="eastAsia" w:ascii="宋体" w:hAnsi="宋体" w:cs="宋体"/>
          <w:color w:val="auto"/>
          <w:highlight w:val="none"/>
        </w:rPr>
        <w:t>）</w:t>
      </w:r>
      <w:bookmarkEnd w:id="3"/>
      <w:bookmarkEnd w:id="4"/>
      <w:r>
        <w:rPr>
          <w:rFonts w:hint="eastAsia" w:ascii="宋体" w:hAnsi="宋体" w:cs="宋体"/>
          <w:color w:val="auto"/>
          <w:highlight w:val="none"/>
        </w:rPr>
        <w:t>（本项目不适用）</w:t>
      </w:r>
      <w:bookmarkEnd w:id="5"/>
      <w:bookmarkEnd w:id="6"/>
      <w:bookmarkEnd w:id="7"/>
    </w:p>
    <w:p w14:paraId="0EC20319">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2.1</w:t>
      </w:r>
      <w:r>
        <w:rPr>
          <w:rFonts w:hint="eastAsia" w:ascii="宋体" w:hAnsi="宋体" w:cs="宋体"/>
          <w:color w:val="auto"/>
          <w:highlight w:val="none"/>
        </w:rPr>
        <w:t>采购范围∶</w:t>
      </w:r>
    </w:p>
    <w:p w14:paraId="37DE9F60">
      <w:pPr>
        <w:pStyle w:val="18"/>
        <w:widowControl/>
        <w:shd w:val="clear" w:color="auto" w:fill="FFFFFF"/>
        <w:spacing w:before="75" w:beforeAutospacing="0" w:after="75" w:afterAutospacing="0" w:line="360" w:lineRule="auto"/>
        <w:rPr>
          <w:rFonts w:ascii="宋体" w:cs="Times New Roman"/>
          <w:color w:val="auto"/>
          <w:highlight w:val="none"/>
          <w:u w:val="single"/>
        </w:rPr>
      </w:pPr>
      <w:r>
        <w:rPr>
          <w:rFonts w:ascii="宋体" w:hAnsi="宋体" w:cs="宋体"/>
          <w:color w:val="auto"/>
          <w:highlight w:val="none"/>
        </w:rPr>
        <w:t>2.2</w:t>
      </w:r>
      <w:r>
        <w:rPr>
          <w:rFonts w:hint="eastAsia" w:ascii="宋体" w:hAnsi="宋体" w:cs="宋体"/>
          <w:color w:val="auto"/>
          <w:highlight w:val="none"/>
        </w:rPr>
        <w:t>计划工期∶</w:t>
      </w:r>
      <w:r>
        <w:rPr>
          <w:rFonts w:ascii="宋体" w:hAnsi="宋体" w:cs="宋体"/>
          <w:color w:val="auto"/>
          <w:highlight w:val="none"/>
          <w:u w:val="single"/>
        </w:rPr>
        <w:t xml:space="preserve">           (</w:t>
      </w:r>
      <w:r>
        <w:rPr>
          <w:rFonts w:hint="eastAsia" w:ascii="宋体" w:hAnsi="宋体" w:cs="宋体"/>
          <w:color w:val="auto"/>
          <w:highlight w:val="none"/>
        </w:rPr>
        <w:t>计划开工日期体以开工令为准。）</w:t>
      </w:r>
    </w:p>
    <w:p w14:paraId="2E075E86">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2.3</w:t>
      </w:r>
      <w:r>
        <w:rPr>
          <w:rFonts w:hint="eastAsia" w:ascii="宋体" w:hAnsi="宋体" w:cs="宋体"/>
          <w:color w:val="auto"/>
          <w:highlight w:val="none"/>
        </w:rPr>
        <w:t>建设地点∶</w:t>
      </w:r>
    </w:p>
    <w:p w14:paraId="23A55DD0">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2.4</w:t>
      </w:r>
      <w:r>
        <w:rPr>
          <w:rFonts w:hint="eastAsia" w:ascii="宋体" w:hAnsi="宋体" w:cs="宋体"/>
          <w:color w:val="auto"/>
          <w:highlight w:val="none"/>
        </w:rPr>
        <w:t>质量要求∶</w:t>
      </w:r>
    </w:p>
    <w:p w14:paraId="16C8A08B">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2.5</w:t>
      </w:r>
      <w:r>
        <w:rPr>
          <w:rFonts w:hint="eastAsia" w:ascii="宋体" w:hAnsi="宋体" w:cs="宋体"/>
          <w:color w:val="auto"/>
          <w:highlight w:val="none"/>
        </w:rPr>
        <w:t>安全目标∶</w:t>
      </w:r>
    </w:p>
    <w:p w14:paraId="613C9F36">
      <w:pPr>
        <w:pStyle w:val="3"/>
        <w:jc w:val="both"/>
        <w:rPr>
          <w:rFonts w:ascii="宋体" w:cs="Times New Roman"/>
          <w:color w:val="auto"/>
          <w:sz w:val="24"/>
          <w:szCs w:val="24"/>
          <w:highlight w:val="none"/>
        </w:rPr>
      </w:pPr>
      <w:bookmarkStart w:id="8" w:name="_Toc16711"/>
      <w:bookmarkStart w:id="9" w:name="_Toc29237"/>
      <w:bookmarkStart w:id="10" w:name="_Toc19839"/>
      <w:bookmarkStart w:id="11" w:name="_Toc11712"/>
      <w:bookmarkStart w:id="12" w:name="_Toc14328"/>
      <w:r>
        <w:rPr>
          <w:rFonts w:ascii="宋体" w:hAnsi="宋体" w:cs="宋体"/>
          <w:color w:val="auto"/>
          <w:sz w:val="24"/>
          <w:szCs w:val="24"/>
          <w:highlight w:val="none"/>
        </w:rPr>
        <w:t xml:space="preserve">2 </w:t>
      </w:r>
      <w:r>
        <w:rPr>
          <w:rFonts w:hint="eastAsia" w:ascii="宋体" w:hAnsi="宋体" w:cs="宋体"/>
          <w:color w:val="auto"/>
          <w:sz w:val="24"/>
          <w:szCs w:val="24"/>
          <w:highlight w:val="none"/>
        </w:rPr>
        <w:t>采购范围及相关要求（</w:t>
      </w:r>
      <w:r>
        <w:rPr>
          <w:rFonts w:ascii="宋体" w:hAnsi="宋体" w:cs="宋体"/>
          <w:color w:val="auto"/>
          <w:sz w:val="24"/>
          <w:szCs w:val="24"/>
          <w:highlight w:val="none"/>
        </w:rPr>
        <w:t>B</w:t>
      </w:r>
      <w:r>
        <w:rPr>
          <w:rFonts w:hint="eastAsia" w:ascii="宋体" w:hAnsi="宋体" w:cs="宋体"/>
          <w:color w:val="auto"/>
          <w:sz w:val="24"/>
          <w:szCs w:val="24"/>
          <w:highlight w:val="none"/>
        </w:rPr>
        <w:t>）</w:t>
      </w:r>
      <w:bookmarkEnd w:id="8"/>
      <w:bookmarkEnd w:id="9"/>
      <w:bookmarkEnd w:id="10"/>
      <w:r>
        <w:rPr>
          <w:rFonts w:hint="eastAsia" w:ascii="宋体" w:hAnsi="宋体" w:cs="宋体"/>
          <w:color w:val="auto"/>
          <w:highlight w:val="none"/>
        </w:rPr>
        <w:t>（本项目不适用）</w:t>
      </w:r>
      <w:bookmarkEnd w:id="11"/>
      <w:bookmarkEnd w:id="12"/>
    </w:p>
    <w:p w14:paraId="08B751FD">
      <w:pPr>
        <w:widowControl/>
        <w:spacing w:line="360" w:lineRule="auto"/>
        <w:rPr>
          <w:rFonts w:ascii="宋体" w:cs="Times New Roman"/>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采购范围∶</w:t>
      </w:r>
    </w:p>
    <w:p w14:paraId="013DC682">
      <w:pPr>
        <w:widowControl/>
        <w:spacing w:line="360" w:lineRule="auto"/>
        <w:rPr>
          <w:rFonts w:ascii="宋体" w:cs="Times New Roman"/>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交货期∶</w:t>
      </w:r>
    </w:p>
    <w:p w14:paraId="1D745D61">
      <w:pPr>
        <w:widowControl/>
        <w:spacing w:line="360" w:lineRule="auto"/>
        <w:rPr>
          <w:rFonts w:ascii="宋体" w:cs="Times New Roman"/>
          <w:color w:val="auto"/>
          <w:sz w:val="24"/>
          <w:szCs w:val="24"/>
          <w:highlight w:val="none"/>
        </w:rPr>
      </w:pPr>
      <w:r>
        <w:rPr>
          <w:rFonts w:ascii="宋体" w:hAnsi="宋体" w:cs="宋体"/>
          <w:color w:val="auto"/>
          <w:sz w:val="24"/>
          <w:szCs w:val="24"/>
          <w:highlight w:val="none"/>
        </w:rPr>
        <w:t>2.3</w:t>
      </w:r>
      <w:r>
        <w:rPr>
          <w:rFonts w:hint="eastAsia" w:ascii="宋体" w:hAnsi="宋体" w:cs="宋体"/>
          <w:color w:val="auto"/>
          <w:sz w:val="24"/>
          <w:szCs w:val="24"/>
          <w:highlight w:val="none"/>
        </w:rPr>
        <w:t>免费质保期：</w:t>
      </w:r>
      <w:r>
        <w:rPr>
          <w:rFonts w:ascii="宋体" w:hAnsi="宋体" w:cs="宋体"/>
          <w:color w:val="auto"/>
          <w:sz w:val="24"/>
          <w:szCs w:val="24"/>
          <w:highlight w:val="none"/>
        </w:rPr>
        <w:t xml:space="preserve"> </w:t>
      </w:r>
    </w:p>
    <w:p w14:paraId="0F95D806">
      <w:pPr>
        <w:widowControl/>
        <w:spacing w:line="360" w:lineRule="auto"/>
        <w:rPr>
          <w:rFonts w:ascii="宋体" w:cs="Times New Roman"/>
          <w:color w:val="auto"/>
          <w:sz w:val="24"/>
          <w:szCs w:val="24"/>
          <w:highlight w:val="none"/>
          <w:u w:val="single"/>
        </w:rPr>
      </w:pPr>
      <w:r>
        <w:rPr>
          <w:rFonts w:ascii="宋体" w:hAnsi="宋体" w:cs="宋体"/>
          <w:color w:val="auto"/>
          <w:sz w:val="24"/>
          <w:szCs w:val="24"/>
          <w:highlight w:val="none"/>
        </w:rPr>
        <w:t>2.4</w:t>
      </w:r>
      <w:r>
        <w:rPr>
          <w:rFonts w:hint="eastAsia" w:ascii="宋体" w:hAnsi="宋体" w:cs="宋体"/>
          <w:color w:val="auto"/>
          <w:sz w:val="24"/>
          <w:szCs w:val="24"/>
          <w:highlight w:val="none"/>
        </w:rPr>
        <w:t>交货地点∶</w:t>
      </w:r>
    </w:p>
    <w:p w14:paraId="55F7E3F6">
      <w:pPr>
        <w:pStyle w:val="18"/>
        <w:widowControl/>
        <w:spacing w:beforeAutospacing="0" w:afterAutospacing="0" w:line="360" w:lineRule="auto"/>
        <w:rPr>
          <w:rFonts w:ascii="宋体" w:cs="Times New Roman"/>
          <w:color w:val="auto"/>
          <w:highlight w:val="none"/>
          <w:u w:val="single"/>
        </w:rPr>
      </w:pPr>
      <w:r>
        <w:rPr>
          <w:rFonts w:ascii="宋体" w:hAnsi="宋体" w:cs="宋体"/>
          <w:color w:val="auto"/>
          <w:highlight w:val="none"/>
        </w:rPr>
        <w:t>2.5</w:t>
      </w:r>
      <w:r>
        <w:rPr>
          <w:rFonts w:hint="eastAsia" w:ascii="宋体" w:hAnsi="宋体" w:cs="宋体"/>
          <w:color w:val="auto"/>
          <w:highlight w:val="none"/>
        </w:rPr>
        <w:t>货物质量标准或主要技术性能指标∶</w:t>
      </w:r>
    </w:p>
    <w:p w14:paraId="2D514D6F">
      <w:pPr>
        <w:pStyle w:val="3"/>
        <w:jc w:val="both"/>
        <w:rPr>
          <w:rFonts w:ascii="宋体" w:cs="Times New Roman"/>
          <w:color w:val="auto"/>
          <w:highlight w:val="none"/>
        </w:rPr>
      </w:pPr>
      <w:bookmarkStart w:id="13" w:name="_Toc4072"/>
      <w:bookmarkStart w:id="14" w:name="_Toc26606"/>
      <w:r>
        <w:rPr>
          <w:rFonts w:ascii="宋体" w:hAnsi="宋体" w:cs="宋体"/>
          <w:color w:val="auto"/>
          <w:highlight w:val="none"/>
        </w:rPr>
        <w:t xml:space="preserve">2 </w:t>
      </w:r>
      <w:r>
        <w:rPr>
          <w:rFonts w:hint="eastAsia" w:ascii="宋体" w:hAnsi="宋体" w:cs="宋体"/>
          <w:color w:val="auto"/>
          <w:highlight w:val="none"/>
        </w:rPr>
        <w:t>采购范围及相关要求（</w:t>
      </w:r>
      <w:r>
        <w:rPr>
          <w:rFonts w:ascii="宋体" w:hAnsi="宋体" w:cs="宋体"/>
          <w:color w:val="auto"/>
          <w:highlight w:val="none"/>
        </w:rPr>
        <w:t>C</w:t>
      </w:r>
      <w:r>
        <w:rPr>
          <w:rFonts w:hint="eastAsia" w:ascii="宋体" w:hAnsi="宋体" w:cs="宋体"/>
          <w:color w:val="auto"/>
          <w:highlight w:val="none"/>
        </w:rPr>
        <w:t>）</w:t>
      </w:r>
      <w:bookmarkEnd w:id="13"/>
      <w:bookmarkEnd w:id="14"/>
    </w:p>
    <w:p w14:paraId="34DDCFB8">
      <w:pPr>
        <w:pStyle w:val="18"/>
        <w:widowControl/>
        <w:spacing w:beforeAutospacing="0" w:afterAutospacing="0" w:line="360" w:lineRule="auto"/>
        <w:rPr>
          <w:rFonts w:ascii="宋体" w:cs="Times New Roman"/>
          <w:color w:val="auto"/>
          <w:highlight w:val="none"/>
          <w:u w:val="single"/>
        </w:rPr>
      </w:pPr>
      <w:r>
        <w:rPr>
          <w:rFonts w:ascii="宋体" w:hAnsi="宋体" w:cs="宋体"/>
          <w:color w:val="auto"/>
          <w:highlight w:val="none"/>
        </w:rPr>
        <w:t>2.1</w:t>
      </w:r>
      <w:r>
        <w:rPr>
          <w:rFonts w:hint="eastAsia" w:ascii="宋体" w:hAnsi="宋体" w:cs="宋体"/>
          <w:color w:val="auto"/>
          <w:highlight w:val="none"/>
        </w:rPr>
        <w:t>项目概况∶</w:t>
      </w:r>
      <w:r>
        <w:rPr>
          <w:rFonts w:hint="eastAsia" w:ascii="宋体" w:hAnsi="宋体" w:cs="宋体"/>
          <w:color w:val="auto"/>
          <w:highlight w:val="none"/>
          <w:u w:val="single"/>
          <w:lang w:val="zh-CN"/>
        </w:rPr>
        <w:t>青海民族大学学生餐厅引入1家社会餐饮企业经营</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具体内容详见询比采购文件</w:t>
      </w:r>
      <w:r>
        <w:rPr>
          <w:rFonts w:hint="default" w:ascii="宋体" w:hAnsi="宋体" w:cs="宋体"/>
          <w:color w:val="auto"/>
          <w:highlight w:val="none"/>
          <w:u w:val="single"/>
          <w:lang w:val="en-US"/>
        </w:rPr>
        <w:t>。</w:t>
      </w:r>
    </w:p>
    <w:p w14:paraId="41A5166D">
      <w:pPr>
        <w:pStyle w:val="18"/>
        <w:widowControl/>
        <w:spacing w:beforeAutospacing="0" w:afterAutospacing="0" w:line="360" w:lineRule="auto"/>
        <w:rPr>
          <w:rFonts w:hint="eastAsia" w:ascii="宋体" w:hAnsi="宋体" w:eastAsia="宋体" w:cs="宋体"/>
          <w:color w:val="auto"/>
          <w:highlight w:val="none"/>
          <w:u w:val="single"/>
          <w:lang w:eastAsia="zh-CN"/>
        </w:rPr>
      </w:pPr>
      <w:r>
        <w:rPr>
          <w:rFonts w:ascii="宋体" w:hAnsi="宋体" w:cs="宋体"/>
          <w:color w:val="auto"/>
          <w:highlight w:val="none"/>
        </w:rPr>
        <w:t>2.2</w:t>
      </w:r>
      <w:r>
        <w:rPr>
          <w:rFonts w:hint="eastAsia" w:ascii="宋体" w:hAnsi="宋体" w:cs="宋体"/>
          <w:color w:val="auto"/>
          <w:highlight w:val="none"/>
        </w:rPr>
        <w:t>服务期∶</w:t>
      </w:r>
      <w:r>
        <w:rPr>
          <w:rFonts w:hint="eastAsia" w:ascii="宋体" w:hAnsi="宋体" w:cs="宋体"/>
          <w:color w:val="auto"/>
          <w:highlight w:val="none"/>
          <w:u w:val="single"/>
        </w:rPr>
        <w:t>3年</w:t>
      </w:r>
      <w:r>
        <w:rPr>
          <w:rFonts w:hint="eastAsia" w:ascii="宋体" w:hAnsi="宋体" w:cs="宋体"/>
          <w:color w:val="auto"/>
          <w:highlight w:val="none"/>
          <w:u w:val="single"/>
          <w:lang w:eastAsia="zh-CN"/>
        </w:rPr>
        <w:t>；</w:t>
      </w:r>
      <w:r>
        <w:rPr>
          <w:rFonts w:hint="eastAsia" w:ascii="宋体" w:hAnsi="宋体" w:cs="宋体"/>
          <w:color w:val="auto"/>
          <w:highlight w:val="none"/>
          <w:u w:val="single"/>
        </w:rPr>
        <w:t>合同一年一签</w:t>
      </w:r>
      <w:r>
        <w:rPr>
          <w:rFonts w:hint="eastAsia" w:ascii="宋体" w:hAnsi="宋体" w:cs="宋体"/>
          <w:color w:val="auto"/>
          <w:highlight w:val="none"/>
          <w:u w:val="single"/>
          <w:lang w:eastAsia="zh-CN"/>
        </w:rPr>
        <w:t>。</w:t>
      </w:r>
    </w:p>
    <w:p w14:paraId="105CB815">
      <w:pPr>
        <w:pStyle w:val="18"/>
        <w:widowControl/>
        <w:spacing w:beforeAutospacing="0" w:afterAutospacing="0" w:line="360" w:lineRule="auto"/>
        <w:rPr>
          <w:rFonts w:hint="default" w:ascii="宋体" w:eastAsia="宋体" w:cs="Times New Roman"/>
          <w:color w:val="auto"/>
          <w:highlight w:val="none"/>
          <w:u w:val="single"/>
          <w:lang w:val="en-US" w:eastAsia="zh-CN"/>
        </w:rPr>
      </w:pPr>
      <w:r>
        <w:rPr>
          <w:rFonts w:ascii="宋体" w:hAnsi="宋体" w:cs="宋体"/>
          <w:color w:val="auto"/>
          <w:highlight w:val="none"/>
        </w:rPr>
        <w:t>2.3</w:t>
      </w:r>
      <w:r>
        <w:rPr>
          <w:rFonts w:hint="eastAsia" w:ascii="宋体" w:hAnsi="宋体" w:cs="宋体"/>
          <w:color w:val="auto"/>
          <w:highlight w:val="none"/>
          <w:lang w:eastAsia="zh-CN"/>
        </w:rPr>
        <w:t>服务地点∶</w:t>
      </w:r>
      <w:r>
        <w:rPr>
          <w:rFonts w:hint="eastAsia" w:ascii="宋体" w:hAnsi="宋体" w:cs="宋体"/>
          <w:color w:val="auto"/>
          <w:highlight w:val="none"/>
          <w:u w:val="single"/>
          <w:lang w:val="zh-CN" w:eastAsia="zh-CN"/>
        </w:rPr>
        <w:t>东序校区（西宁市城东区八一中路</w:t>
      </w:r>
      <w:r>
        <w:rPr>
          <w:rFonts w:hint="eastAsia" w:ascii="宋体" w:hAnsi="宋体" w:cs="宋体"/>
          <w:color w:val="auto"/>
          <w:highlight w:val="none"/>
          <w:u w:val="single"/>
          <w:lang w:eastAsia="zh-CN"/>
        </w:rPr>
        <w:t>3号）</w:t>
      </w:r>
    </w:p>
    <w:p w14:paraId="04903C53">
      <w:pPr>
        <w:pStyle w:val="3"/>
        <w:rPr>
          <w:rFonts w:ascii="宋体" w:cs="Times New Roman"/>
          <w:color w:val="auto"/>
          <w:highlight w:val="none"/>
        </w:rPr>
      </w:pPr>
      <w:bookmarkStart w:id="15" w:name="_Toc23984"/>
      <w:bookmarkStart w:id="16" w:name="_Toc32644"/>
      <w:r>
        <w:rPr>
          <w:rFonts w:ascii="宋体" w:hAnsi="宋体" w:cs="宋体"/>
          <w:color w:val="auto"/>
          <w:highlight w:val="none"/>
        </w:rPr>
        <w:t>3</w:t>
      </w:r>
      <w:r>
        <w:rPr>
          <w:rFonts w:hint="eastAsia" w:ascii="宋体" w:hAnsi="宋体" w:cs="宋体"/>
          <w:color w:val="auto"/>
          <w:highlight w:val="none"/>
        </w:rPr>
        <w:t>询比响应人资格要求</w:t>
      </w:r>
      <w:bookmarkEnd w:id="15"/>
      <w:bookmarkEnd w:id="16"/>
    </w:p>
    <w:p w14:paraId="3A01D3DD">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3.1</w:t>
      </w:r>
      <w:r>
        <w:rPr>
          <w:rFonts w:hint="eastAsia" w:ascii="宋体" w:hAnsi="宋体" w:cs="宋体"/>
          <w:color w:val="auto"/>
          <w:highlight w:val="none"/>
        </w:rPr>
        <w:t>询比响应人应依法设立且满足如下要求∶</w:t>
      </w:r>
    </w:p>
    <w:p w14:paraId="1163E84A">
      <w:pPr>
        <w:numPr>
          <w:ilvl w:val="0"/>
          <w:numId w:val="0"/>
        </w:numPr>
        <w:spacing w:line="440" w:lineRule="exact"/>
        <w:ind w:firstLine="240" w:firstLineChars="100"/>
        <w:rPr>
          <w:rFonts w:ascii="宋体" w:cs="Times New Roman"/>
          <w:color w:val="auto"/>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资质要求∶</w:t>
      </w:r>
      <w:r>
        <w:rPr>
          <w:rFonts w:hint="eastAsia" w:ascii="宋体" w:hAnsi="宋体" w:cs="宋体"/>
          <w:color w:val="auto"/>
          <w:kern w:val="0"/>
          <w:sz w:val="24"/>
          <w:szCs w:val="24"/>
          <w:highlight w:val="none"/>
          <w:u w:val="single"/>
          <w:lang w:val="zh-CN"/>
        </w:rPr>
        <w:t>在中华人民共和国注册、具有独立法人资格并保持良好履约记录、有能力响应采购文件要求；（提供合法有效的“三证合一”的工商营业执照）；</w:t>
      </w:r>
    </w:p>
    <w:p w14:paraId="129B0754">
      <w:pPr>
        <w:pStyle w:val="18"/>
        <w:widowControl/>
        <w:spacing w:beforeAutospacing="0" w:afterAutospacing="0" w:line="360" w:lineRule="auto"/>
        <w:ind w:firstLine="240" w:firstLineChars="100"/>
        <w:rPr>
          <w:rFonts w:ascii="宋体" w:cs="Times New Roman"/>
          <w:color w:val="auto"/>
          <w:highlight w:val="none"/>
          <w:u w:val="singl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）财务要求∶</w:t>
      </w:r>
      <w:r>
        <w:rPr>
          <w:rFonts w:hint="eastAsia" w:ascii="宋体" w:hAnsi="宋体" w:cs="宋体"/>
          <w:color w:val="auto"/>
          <w:highlight w:val="none"/>
          <w:u w:val="single"/>
          <w:lang w:val="zh-CN"/>
        </w:rPr>
        <w:t>提供基本开户银行近三个月内出具的资信证明（同时提供基本存款账户开户许可证</w:t>
      </w:r>
      <w:r>
        <w:rPr>
          <w:rFonts w:ascii="宋体" w:hAnsi="宋体" w:cs="宋体"/>
          <w:color w:val="auto"/>
          <w:highlight w:val="none"/>
          <w:u w:val="single"/>
          <w:lang w:val="zh-CN"/>
        </w:rPr>
        <w:t>/</w:t>
      </w:r>
      <w:r>
        <w:rPr>
          <w:rFonts w:hint="eastAsia" w:ascii="宋体" w:hAnsi="宋体" w:cs="宋体"/>
          <w:color w:val="auto"/>
          <w:highlight w:val="none"/>
          <w:u w:val="single"/>
          <w:lang w:val="zh-CN"/>
        </w:rPr>
        <w:t>基本账户信息）</w:t>
      </w:r>
      <w:r>
        <w:rPr>
          <w:rFonts w:hint="eastAsia" w:ascii="宋体" w:hAnsi="宋体" w:cs="宋体"/>
          <w:color w:val="auto"/>
          <w:highlight w:val="none"/>
          <w:u w:val="single"/>
        </w:rPr>
        <w:t>或</w:t>
      </w:r>
      <w:r>
        <w:rPr>
          <w:rFonts w:ascii="宋体" w:hAnsi="宋体" w:cs="宋体"/>
          <w:color w:val="auto"/>
          <w:highlight w:val="none"/>
          <w:u w:val="single"/>
        </w:rPr>
        <w:t>2023</w:t>
      </w:r>
      <w:r>
        <w:rPr>
          <w:rFonts w:hint="eastAsia" w:ascii="宋体" w:hAnsi="宋体" w:cs="宋体"/>
          <w:color w:val="auto"/>
          <w:highlight w:val="none"/>
          <w:u w:val="single"/>
        </w:rPr>
        <w:t>年度经第三方审计的财务状况报告</w:t>
      </w:r>
      <w:r>
        <w:rPr>
          <w:rFonts w:hint="eastAsia" w:ascii="宋体" w:hAnsi="宋体" w:cs="宋体"/>
          <w:color w:val="auto"/>
          <w:highlight w:val="none"/>
          <w:u w:val="single"/>
          <w:lang w:val="zh-CN"/>
        </w:rPr>
        <w:t>，包括资产负债表、现金流量表、利润表和财务（会计）报表附注；</w:t>
      </w:r>
    </w:p>
    <w:p w14:paraId="43AFC00F">
      <w:pPr>
        <w:spacing w:line="440" w:lineRule="exact"/>
        <w:ind w:firstLine="240" w:firstLineChars="10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税收社保：</w:t>
      </w:r>
      <w:r>
        <w:rPr>
          <w:rFonts w:hint="eastAsia" w:ascii="宋体" w:hAnsi="宋体" w:cs="宋体"/>
          <w:color w:val="auto"/>
          <w:kern w:val="0"/>
          <w:sz w:val="24"/>
          <w:szCs w:val="24"/>
          <w:highlight w:val="none"/>
          <w:u w:val="single"/>
          <w:lang w:val="en-US" w:eastAsia="zh-CN"/>
        </w:rPr>
        <w:t>提供近半年内任意三个月的依法缴纳税收和近半年内任意三个月的社会保障资金记录的证明材料；</w:t>
      </w:r>
    </w:p>
    <w:p w14:paraId="4F2F3FED">
      <w:pPr>
        <w:spacing w:line="440" w:lineRule="exact"/>
        <w:ind w:firstLine="240" w:firstLineChars="100"/>
        <w:rPr>
          <w:rFonts w:hint="eastAsia" w:ascii="宋体" w:eastAsia="宋体" w:cs="Times New Roman"/>
          <w:b/>
          <w:bCs/>
          <w:color w:val="auto"/>
          <w:highlight w:val="none"/>
          <w:u w:val="single"/>
          <w:lang w:eastAsia="zh-CN"/>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）承担本项目的主要人员要求∶</w:t>
      </w:r>
      <w:r>
        <w:rPr>
          <w:rFonts w:hint="eastAsia" w:ascii="宋体" w:hAnsi="宋体" w:cs="宋体"/>
          <w:color w:val="auto"/>
          <w:kern w:val="0"/>
          <w:sz w:val="24"/>
          <w:szCs w:val="24"/>
          <w:highlight w:val="none"/>
          <w:u w:val="single"/>
          <w:lang w:val="en-US" w:eastAsia="zh-CN"/>
        </w:rPr>
        <w:t>/</w:t>
      </w:r>
    </w:p>
    <w:p w14:paraId="72732427">
      <w:pPr>
        <w:keepNext w:val="0"/>
        <w:keepLines w:val="0"/>
        <w:widowControl/>
        <w:suppressLineNumbers w:val="0"/>
        <w:spacing w:line="360" w:lineRule="auto"/>
        <w:ind w:firstLine="240" w:firstLineChars="100"/>
        <w:jc w:val="left"/>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none"/>
          <w:lang w:val="en-US" w:eastAsia="zh-CN"/>
        </w:rPr>
        <w:t>4</w:t>
      </w:r>
      <w:r>
        <w:rPr>
          <w:rFonts w:hint="eastAsia" w:ascii="宋体" w:hAnsi="宋体" w:eastAsia="宋体" w:cs="宋体"/>
          <w:color w:val="auto"/>
          <w:kern w:val="0"/>
          <w:sz w:val="24"/>
          <w:szCs w:val="24"/>
          <w:highlight w:val="none"/>
          <w:u w:val="none"/>
        </w:rPr>
        <w:t>）信誉要求∶经信用中国（www.creditchina.gov.cn）等渠道查询后，列入失信被执行人、重大税收违法案件当事人名单，取消投标资格。（提供“信用中国</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rPr>
        <w:t>网站的查询截图</w:t>
      </w:r>
      <w:r>
        <w:rPr>
          <w:rFonts w:hint="eastAsia" w:ascii="宋体" w:hAnsi="宋体" w:eastAsia="宋体" w:cs="宋体"/>
          <w:color w:val="auto"/>
          <w:kern w:val="0"/>
          <w:sz w:val="24"/>
          <w:szCs w:val="24"/>
          <w:highlight w:val="none"/>
          <w:u w:val="none"/>
          <w:lang w:val="en-US" w:eastAsia="zh-CN"/>
        </w:rPr>
        <w:t>时间 为投标截止时间前 10 天内）</w:t>
      </w:r>
    </w:p>
    <w:p w14:paraId="03C586DB">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3.2</w:t>
      </w:r>
      <w:r>
        <w:rPr>
          <w:rFonts w:hint="eastAsia" w:ascii="宋体" w:hAnsi="宋体" w:cs="宋体"/>
          <w:color w:val="auto"/>
          <w:highlight w:val="none"/>
        </w:rPr>
        <w:t>询比响应人不得存在下列情形之一∶</w:t>
      </w:r>
    </w:p>
    <w:p w14:paraId="78400BBB">
      <w:pPr>
        <w:pStyle w:val="18"/>
        <w:widowControl/>
        <w:spacing w:beforeAutospacing="0" w:afterAutospacing="0" w:line="360" w:lineRule="auto"/>
        <w:ind w:firstLine="24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）处于被责令停产停业、暂扣或者吊销执照、暂扣或者吊销许可证、吊销资质证书状态</w:t>
      </w:r>
      <w:r>
        <w:rPr>
          <w:rFonts w:ascii="宋体" w:hAnsi="宋体" w:cs="宋体"/>
          <w:color w:val="auto"/>
          <w:highlight w:val="none"/>
        </w:rPr>
        <w:t>;</w:t>
      </w:r>
    </w:p>
    <w:p w14:paraId="74DA5F07">
      <w:pPr>
        <w:pStyle w:val="18"/>
        <w:widowControl/>
        <w:spacing w:beforeAutospacing="0" w:afterAutospacing="0" w:line="360" w:lineRule="auto"/>
        <w:ind w:firstLine="240" w:firstLineChars="1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）进入清算程序，或被宣告破产，或其他丧失履约能力的情形；</w:t>
      </w:r>
    </w:p>
    <w:p w14:paraId="2B69DB0E">
      <w:pPr>
        <w:pStyle w:val="18"/>
        <w:widowControl/>
        <w:spacing w:beforeAutospacing="0" w:afterAutospacing="0" w:line="360" w:lineRule="auto"/>
        <w:ind w:firstLine="240" w:firstLineChars="100"/>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单位负责人为同一人或者存在直接控股、管理关系的不同响应人，不得参加同一合同 </w:t>
      </w:r>
    </w:p>
    <w:p w14:paraId="7638D126">
      <w:pPr>
        <w:pStyle w:val="18"/>
        <w:widowControl/>
        <w:spacing w:beforeAutospacing="0" w:afterAutospacing="0" w:line="360" w:lineRule="auto"/>
        <w:ind w:firstLine="240" w:firstLineChars="100"/>
        <w:rPr>
          <w:rFonts w:hint="eastAsia" w:ascii="宋体" w:hAnsi="宋体" w:cs="宋体"/>
          <w:color w:val="auto"/>
          <w:highlight w:val="none"/>
          <w:lang w:eastAsia="zh-CN"/>
        </w:rPr>
      </w:pPr>
      <w:r>
        <w:rPr>
          <w:rFonts w:hint="eastAsia" w:ascii="宋体" w:hAnsi="宋体" w:cs="宋体"/>
          <w:color w:val="auto"/>
          <w:highlight w:val="none"/>
          <w:lang w:val="en-US" w:eastAsia="zh-CN"/>
        </w:rPr>
        <w:t>项下的采购活动。否则，皆取消投标资格；</w:t>
      </w:r>
    </w:p>
    <w:p w14:paraId="3E74EF13">
      <w:pPr>
        <w:pStyle w:val="18"/>
        <w:widowControl/>
        <w:spacing w:beforeAutospacing="0" w:afterAutospacing="0" w:line="360" w:lineRule="auto"/>
        <w:ind w:firstLine="240" w:firstLineChars="100"/>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）参加采购活动前 3 年内在经营活动中没有重大违法记录的书面声明；</w:t>
      </w:r>
    </w:p>
    <w:p w14:paraId="0D192FBC">
      <w:pPr>
        <w:pStyle w:val="18"/>
        <w:widowControl/>
        <w:spacing w:beforeAutospacing="0" w:afterAutospacing="0" w:line="360" w:lineRule="auto"/>
        <w:ind w:firstLine="240" w:firstLineChars="100"/>
        <w:rPr>
          <w:rFonts w:hint="eastAsia" w:ascii="Times New Roman" w:hAnsi="Times New Roman" w:eastAsia="宋体" w:cs="Times New Roman"/>
          <w:color w:val="auto"/>
          <w:kern w:val="0"/>
          <w:sz w:val="24"/>
          <w:u w:val="single"/>
          <w:lang w:val="en-US" w:eastAsia="zh-CN"/>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）其他</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w:t>
      </w:r>
    </w:p>
    <w:p w14:paraId="1D0F8F21">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3.3</w:t>
      </w:r>
      <w:r>
        <w:rPr>
          <w:rFonts w:hint="eastAsia" w:ascii="宋体" w:hAnsi="宋体" w:cs="宋体"/>
          <w:b/>
          <w:bCs/>
          <w:color w:val="auto"/>
          <w:highlight w:val="none"/>
        </w:rPr>
        <w:t>本次采购</w:t>
      </w:r>
      <w:r>
        <w:rPr>
          <w:rFonts w:ascii="宋体" w:hAnsi="宋体" w:cs="宋体"/>
          <w:b/>
          <w:bCs/>
          <w:color w:val="auto"/>
          <w:highlight w:val="none"/>
          <w:u w:val="single"/>
        </w:rPr>
        <w:t xml:space="preserve"> </w:t>
      </w:r>
      <w:r>
        <w:rPr>
          <w:rFonts w:hint="eastAsia" w:ascii="宋体" w:hAnsi="宋体" w:cs="宋体"/>
          <w:b/>
          <w:bCs/>
          <w:color w:val="auto"/>
          <w:highlight w:val="none"/>
          <w:u w:val="single"/>
        </w:rPr>
        <w:t>不接受</w:t>
      </w:r>
      <w:r>
        <w:rPr>
          <w:rFonts w:hint="eastAsia" w:ascii="宋体" w:hAnsi="宋体" w:cs="宋体"/>
          <w:b/>
          <w:bCs/>
          <w:color w:val="auto"/>
          <w:highlight w:val="none"/>
        </w:rPr>
        <w:t>联合体</w:t>
      </w:r>
      <w:r>
        <w:rPr>
          <w:rFonts w:hint="eastAsia" w:ascii="宋体" w:hAnsi="宋体" w:cs="宋体"/>
          <w:b/>
          <w:bCs/>
          <w:color w:val="auto"/>
          <w:highlight w:val="none"/>
          <w:lang w:eastAsia="zh-CN"/>
        </w:rPr>
        <w:t>投标</w:t>
      </w:r>
      <w:r>
        <w:rPr>
          <w:rFonts w:hint="eastAsia" w:ascii="宋体" w:hAnsi="宋体" w:cs="宋体"/>
          <w:b/>
          <w:bCs/>
          <w:color w:val="auto"/>
          <w:highlight w:val="none"/>
        </w:rPr>
        <w:t>。</w:t>
      </w:r>
    </w:p>
    <w:p w14:paraId="7B221302">
      <w:pPr>
        <w:pStyle w:val="18"/>
        <w:widowControl/>
        <w:spacing w:beforeAutospacing="0" w:afterAutospacing="0" w:line="360" w:lineRule="auto"/>
        <w:ind w:firstLine="480" w:firstLineChars="200"/>
        <w:rPr>
          <w:rFonts w:ascii="宋体" w:cs="Times New Roman"/>
          <w:color w:val="auto"/>
          <w:highlight w:val="none"/>
          <w:u w:val="single"/>
        </w:rPr>
      </w:pPr>
      <w:r>
        <w:rPr>
          <w:rFonts w:hint="eastAsia" w:ascii="宋体" w:hAnsi="宋体" w:cs="宋体"/>
          <w:color w:val="auto"/>
          <w:highlight w:val="none"/>
        </w:rPr>
        <w:t>联合体参加询比采购活动的，联合体应满足本条第</w:t>
      </w:r>
      <w:r>
        <w:rPr>
          <w:rFonts w:ascii="宋体" w:hAnsi="宋体" w:cs="宋体"/>
          <w:color w:val="auto"/>
          <w:highlight w:val="none"/>
        </w:rPr>
        <w:t>3.1</w:t>
      </w:r>
      <w:r>
        <w:rPr>
          <w:rFonts w:hint="eastAsia" w:ascii="宋体" w:hAnsi="宋体" w:cs="宋体"/>
          <w:color w:val="auto"/>
          <w:highlight w:val="none"/>
        </w:rPr>
        <w:t>款规定的要求，且联合体各方均不得存在本条第</w:t>
      </w:r>
      <w:r>
        <w:rPr>
          <w:rFonts w:ascii="宋体" w:hAnsi="宋体" w:cs="宋体"/>
          <w:color w:val="auto"/>
          <w:highlight w:val="none"/>
        </w:rPr>
        <w:t>3.2</w:t>
      </w:r>
      <w:r>
        <w:rPr>
          <w:rFonts w:hint="eastAsia" w:ascii="宋体" w:hAnsi="宋体" w:cs="宋体"/>
          <w:color w:val="auto"/>
          <w:highlight w:val="none"/>
        </w:rPr>
        <w:t>款规定的情形。此外，联合体各方应分别满足如下条件∶</w:t>
      </w:r>
      <w:r>
        <w:rPr>
          <w:rFonts w:ascii="宋体" w:hAnsi="宋体" w:cs="宋体"/>
          <w:color w:val="auto"/>
          <w:highlight w:val="none"/>
        </w:rPr>
        <w:t>/</w:t>
      </w:r>
    </w:p>
    <w:p w14:paraId="6E7FDF94">
      <w:pPr>
        <w:pStyle w:val="18"/>
        <w:widowControl/>
        <w:spacing w:beforeAutospacing="0" w:afterAutospacing="0" w:line="360" w:lineRule="auto"/>
        <w:ind w:firstLine="300" w:firstLineChars="200"/>
        <w:rPr>
          <w:rFonts w:ascii="宋体" w:cs="Times New Roman"/>
          <w:color w:val="auto"/>
          <w:sz w:val="15"/>
          <w:szCs w:val="15"/>
          <w:highlight w:val="none"/>
        </w:rPr>
      </w:pPr>
      <w:r>
        <w:rPr>
          <w:rFonts w:hint="eastAsia" w:ascii="宋体" w:hAnsi="宋体" w:cs="宋体"/>
          <w:color w:val="auto"/>
          <w:sz w:val="15"/>
          <w:szCs w:val="15"/>
          <w:highlight w:val="none"/>
        </w:rPr>
        <w:t>（注∶此部分应明确由同一专业或不同专业组成的联合体中各专业的资质、财务、业绩、信誉、主要人员等的认定方法，以最终认定联合体的资格。）</w:t>
      </w:r>
    </w:p>
    <w:p w14:paraId="6DE8303F">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联合体应递交联合体协议书，且联合体各方不得再以自己名义单独或参加其他联合体参与本询比采购项目，否则相关响应文件均无效。</w:t>
      </w:r>
    </w:p>
    <w:p w14:paraId="254C5CB8">
      <w:pPr>
        <w:pStyle w:val="3"/>
        <w:rPr>
          <w:rFonts w:ascii="宋体" w:cs="Times New Roman"/>
          <w:color w:val="auto"/>
          <w:highlight w:val="none"/>
        </w:rPr>
      </w:pPr>
      <w:bookmarkStart w:id="17" w:name="_Toc24909"/>
      <w:bookmarkStart w:id="18" w:name="_Toc18049"/>
      <w:r>
        <w:rPr>
          <w:rFonts w:ascii="宋体" w:hAnsi="宋体" w:cs="宋体"/>
          <w:color w:val="auto"/>
          <w:highlight w:val="none"/>
        </w:rPr>
        <w:t xml:space="preserve">4 </w:t>
      </w:r>
      <w:r>
        <w:rPr>
          <w:rFonts w:hint="eastAsia" w:ascii="宋体" w:hAnsi="宋体" w:cs="宋体"/>
          <w:color w:val="auto"/>
          <w:highlight w:val="none"/>
        </w:rPr>
        <w:t>采购文件的获取</w:t>
      </w:r>
      <w:bookmarkEnd w:id="17"/>
      <w:bookmarkEnd w:id="18"/>
    </w:p>
    <w:p w14:paraId="15E982C8">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4.1</w:t>
      </w:r>
      <w:r>
        <w:rPr>
          <w:rFonts w:hint="eastAsia" w:ascii="宋体" w:hAnsi="宋体" w:cs="宋体"/>
          <w:color w:val="auto"/>
          <w:highlight w:val="none"/>
        </w:rPr>
        <w:t>有意参加询比采购活动的单位，请于</w:t>
      </w:r>
      <w:r>
        <w:rPr>
          <w:rFonts w:ascii="宋体" w:hAnsi="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lang w:val="en-US" w:eastAsia="zh-CN"/>
        </w:rPr>
        <w:t>1</w:t>
      </w:r>
      <w:r>
        <w:rPr>
          <w:rFonts w:hint="eastAsia" w:ascii="宋体" w:hAnsi="宋体" w:cs="宋体"/>
          <w:color w:val="auto"/>
          <w:highlight w:val="none"/>
        </w:rPr>
        <w:t>月</w:t>
      </w:r>
      <w:r>
        <w:rPr>
          <w:rFonts w:hint="eastAsia" w:ascii="宋体" w:hAnsi="宋体" w:cs="宋体"/>
          <w:color w:val="auto"/>
          <w:highlight w:val="none"/>
          <w:u w:val="single"/>
          <w:lang w:val="en-US" w:eastAsia="zh-CN"/>
        </w:rPr>
        <w:t>15</w:t>
      </w:r>
      <w:r>
        <w:rPr>
          <w:rFonts w:hint="eastAsia" w:ascii="宋体" w:hAnsi="宋体" w:cs="宋体"/>
          <w:color w:val="auto"/>
          <w:highlight w:val="none"/>
        </w:rPr>
        <w:t>日至</w:t>
      </w:r>
      <w:r>
        <w:rPr>
          <w:rFonts w:ascii="宋体" w:hAnsi="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lang w:val="en-US" w:eastAsia="zh-CN"/>
        </w:rPr>
        <w:t>1</w:t>
      </w:r>
      <w:r>
        <w:rPr>
          <w:rFonts w:hint="eastAsia" w:ascii="宋体" w:hAnsi="宋体" w:cs="宋体"/>
          <w:color w:val="auto"/>
          <w:highlight w:val="none"/>
        </w:rPr>
        <w:t>月</w:t>
      </w:r>
      <w:r>
        <w:rPr>
          <w:rFonts w:hint="eastAsia" w:ascii="宋体" w:hAnsi="宋体" w:cs="宋体"/>
          <w:color w:val="auto"/>
          <w:highlight w:val="none"/>
          <w:u w:val="single"/>
          <w:lang w:val="en-US" w:eastAsia="zh-CN"/>
        </w:rPr>
        <w:t>20</w:t>
      </w:r>
      <w:r>
        <w:rPr>
          <w:rFonts w:hint="eastAsia" w:ascii="宋体" w:hAnsi="宋体" w:cs="宋体"/>
          <w:color w:val="auto"/>
          <w:highlight w:val="none"/>
        </w:rPr>
        <w:t>日，每日上午</w:t>
      </w:r>
      <w:r>
        <w:rPr>
          <w:rFonts w:ascii="宋体" w:hAnsi="宋体" w:cs="宋体"/>
          <w:color w:val="auto"/>
          <w:highlight w:val="none"/>
          <w:u w:val="single"/>
        </w:rPr>
        <w:t>09:00</w:t>
      </w:r>
      <w:r>
        <w:rPr>
          <w:rFonts w:hint="eastAsia" w:ascii="宋体" w:hAnsi="宋体" w:cs="宋体"/>
          <w:color w:val="auto"/>
          <w:highlight w:val="none"/>
        </w:rPr>
        <w:t>时至</w:t>
      </w:r>
      <w:r>
        <w:rPr>
          <w:rFonts w:ascii="宋体" w:hAnsi="宋体" w:cs="宋体"/>
          <w:color w:val="auto"/>
          <w:highlight w:val="none"/>
          <w:u w:val="single"/>
        </w:rPr>
        <w:t>12:00</w:t>
      </w:r>
      <w:r>
        <w:rPr>
          <w:rFonts w:hint="eastAsia" w:ascii="宋体" w:hAnsi="宋体" w:cs="宋体"/>
          <w:color w:val="auto"/>
          <w:highlight w:val="none"/>
        </w:rPr>
        <w:t>时，下午</w:t>
      </w:r>
      <w:r>
        <w:rPr>
          <w:rFonts w:ascii="宋体" w:hAnsi="宋体" w:cs="宋体"/>
          <w:color w:val="auto"/>
          <w:highlight w:val="none"/>
          <w:u w:val="single"/>
        </w:rPr>
        <w:t>14:00</w:t>
      </w:r>
      <w:r>
        <w:rPr>
          <w:rFonts w:hint="eastAsia" w:ascii="宋体" w:hAnsi="宋体" w:cs="宋体"/>
          <w:color w:val="auto"/>
          <w:highlight w:val="none"/>
        </w:rPr>
        <w:t>时至</w:t>
      </w:r>
      <w:r>
        <w:rPr>
          <w:rFonts w:ascii="宋体" w:hAnsi="宋体" w:cs="宋体"/>
          <w:color w:val="auto"/>
          <w:highlight w:val="none"/>
          <w:u w:val="single"/>
        </w:rPr>
        <w:t>17:30</w:t>
      </w:r>
      <w:r>
        <w:rPr>
          <w:rFonts w:hint="eastAsia" w:ascii="宋体" w:hAnsi="宋体" w:cs="宋体"/>
          <w:color w:val="auto"/>
          <w:highlight w:val="none"/>
        </w:rPr>
        <w:t>时（北京时间</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节假日除外</w:t>
      </w:r>
      <w:r>
        <w:rPr>
          <w:rFonts w:hint="eastAsia" w:ascii="宋体" w:hAnsi="宋体" w:cs="宋体"/>
          <w:color w:val="auto"/>
          <w:highlight w:val="none"/>
        </w:rPr>
        <w:t>），在</w:t>
      </w:r>
      <w:r>
        <w:rPr>
          <w:rFonts w:hint="eastAsia" w:ascii="宋体" w:hAnsi="宋体" w:cs="宋体"/>
          <w:color w:val="auto"/>
          <w:highlight w:val="none"/>
          <w:u w:val="single"/>
        </w:rPr>
        <w:t>青海省西宁市西川南路</w:t>
      </w:r>
      <w:r>
        <w:rPr>
          <w:rFonts w:ascii="宋体" w:hAnsi="宋体" w:cs="宋体"/>
          <w:color w:val="auto"/>
          <w:highlight w:val="none"/>
          <w:u w:val="single"/>
        </w:rPr>
        <w:t>76</w:t>
      </w:r>
      <w:r>
        <w:rPr>
          <w:rFonts w:hint="eastAsia" w:ascii="宋体" w:hAnsi="宋体" w:cs="宋体"/>
          <w:color w:val="auto"/>
          <w:highlight w:val="none"/>
          <w:u w:val="single"/>
        </w:rPr>
        <w:t>号万达中心</w:t>
      </w:r>
      <w:r>
        <w:rPr>
          <w:rFonts w:ascii="宋体" w:hAnsi="宋体" w:cs="宋体"/>
          <w:color w:val="auto"/>
          <w:highlight w:val="none"/>
          <w:u w:val="single"/>
        </w:rPr>
        <w:t>1</w:t>
      </w:r>
      <w:r>
        <w:rPr>
          <w:rFonts w:hint="eastAsia" w:ascii="宋体" w:hAnsi="宋体" w:cs="宋体"/>
          <w:color w:val="auto"/>
          <w:highlight w:val="none"/>
          <w:u w:val="single"/>
        </w:rPr>
        <w:t>号写字楼</w:t>
      </w:r>
      <w:r>
        <w:rPr>
          <w:rFonts w:ascii="宋体" w:hAnsi="宋体" w:cs="宋体"/>
          <w:color w:val="auto"/>
          <w:highlight w:val="none"/>
          <w:u w:val="single"/>
        </w:rPr>
        <w:t>6</w:t>
      </w:r>
      <w:r>
        <w:rPr>
          <w:rFonts w:hint="eastAsia" w:ascii="宋体" w:hAnsi="宋体" w:cs="宋体"/>
          <w:color w:val="auto"/>
          <w:highlight w:val="none"/>
          <w:u w:val="single"/>
        </w:rPr>
        <w:t>楼</w:t>
      </w:r>
      <w:r>
        <w:rPr>
          <w:rFonts w:ascii="宋体" w:hAnsi="宋体" w:cs="宋体"/>
          <w:color w:val="auto"/>
          <w:highlight w:val="none"/>
          <w:u w:val="single"/>
        </w:rPr>
        <w:t>10608</w:t>
      </w:r>
      <w:r>
        <w:rPr>
          <w:rFonts w:hint="eastAsia" w:ascii="宋体" w:hAnsi="宋体" w:cs="宋体"/>
          <w:color w:val="auto"/>
          <w:highlight w:val="none"/>
          <w:u w:val="single"/>
        </w:rPr>
        <w:t>室获取采购文件</w:t>
      </w:r>
      <w:r>
        <w:rPr>
          <w:rFonts w:hint="eastAsia" w:ascii="宋体" w:hAnsi="宋体" w:cs="宋体"/>
          <w:color w:val="auto"/>
          <w:highlight w:val="none"/>
        </w:rPr>
        <w:t>。</w:t>
      </w:r>
    </w:p>
    <w:p w14:paraId="5425BA74">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4.2</w:t>
      </w:r>
      <w:r>
        <w:rPr>
          <w:rFonts w:hint="eastAsia" w:ascii="宋体" w:hAnsi="宋体" w:cs="宋体"/>
          <w:color w:val="auto"/>
          <w:highlight w:val="none"/>
        </w:rPr>
        <w:t>采购文件每套售价</w:t>
      </w:r>
      <w:r>
        <w:rPr>
          <w:rFonts w:ascii="宋体" w:hAnsi="宋体" w:cs="宋体"/>
          <w:color w:val="auto"/>
          <w:highlight w:val="none"/>
          <w:u w:val="single"/>
        </w:rPr>
        <w:t>500</w:t>
      </w:r>
      <w:r>
        <w:rPr>
          <w:rFonts w:hint="eastAsia" w:ascii="宋体" w:hAnsi="宋体" w:cs="宋体"/>
          <w:color w:val="auto"/>
          <w:highlight w:val="none"/>
        </w:rPr>
        <w:t>元，售后不退。</w:t>
      </w:r>
    </w:p>
    <w:p w14:paraId="17236408">
      <w:pPr>
        <w:pStyle w:val="9"/>
        <w:spacing w:after="0" w:line="360" w:lineRule="auto"/>
        <w:rPr>
          <w:rFonts w:hint="eastAsia" w:ascii="宋体" w:eastAsia="宋体" w:cs="Times New Roman"/>
          <w:color w:val="auto"/>
          <w:kern w:val="0"/>
          <w:sz w:val="24"/>
          <w:szCs w:val="24"/>
          <w:highlight w:val="none"/>
          <w:lang w:eastAsia="zh-CN"/>
        </w:rPr>
      </w:pPr>
      <w:r>
        <w:rPr>
          <w:rFonts w:ascii="宋体" w:hAnsi="宋体" w:cs="宋体"/>
          <w:color w:val="auto"/>
          <w:kern w:val="0"/>
          <w:sz w:val="24"/>
          <w:szCs w:val="24"/>
          <w:highlight w:val="none"/>
        </w:rPr>
        <w:t>4.3</w:t>
      </w:r>
      <w:r>
        <w:rPr>
          <w:rFonts w:hint="eastAsia" w:ascii="宋体" w:hAnsi="宋体" w:cs="宋体"/>
          <w:color w:val="auto"/>
          <w:kern w:val="0"/>
          <w:sz w:val="24"/>
          <w:szCs w:val="24"/>
          <w:highlight w:val="none"/>
        </w:rPr>
        <w:t>采购文件获取方式：</w:t>
      </w:r>
      <w:r>
        <w:rPr>
          <w:rFonts w:hint="eastAsia" w:ascii="宋体" w:hAnsi="宋体" w:cs="宋体"/>
          <w:color w:val="auto"/>
          <w:kern w:val="0"/>
          <w:sz w:val="24"/>
          <w:szCs w:val="24"/>
          <w:highlight w:val="none"/>
          <w:lang w:eastAsia="zh-CN"/>
        </w:rPr>
        <w:t>线上或线下</w:t>
      </w:r>
    </w:p>
    <w:p w14:paraId="195AA2DA">
      <w:pPr>
        <w:pStyle w:val="9"/>
        <w:spacing w:after="0" w:line="360" w:lineRule="auto"/>
        <w:rPr>
          <w:rFonts w:ascii="宋体" w:cs="Times New Roman"/>
          <w:color w:val="auto"/>
          <w:kern w:val="0"/>
          <w:sz w:val="24"/>
          <w:szCs w:val="24"/>
          <w:highlight w:val="none"/>
          <w:u w:val="single"/>
        </w:rPr>
      </w:pPr>
      <w:r>
        <w:rPr>
          <w:rFonts w:hint="eastAsia" w:ascii="宋体" w:hAnsi="宋体" w:cs="宋体"/>
          <w:color w:val="auto"/>
          <w:kern w:val="0"/>
          <w:sz w:val="24"/>
          <w:szCs w:val="24"/>
          <w:highlight w:val="none"/>
        </w:rPr>
        <w:t>线下获取：</w:t>
      </w:r>
      <w:r>
        <w:rPr>
          <w:rFonts w:hint="eastAsia" w:ascii="宋体" w:hAnsi="宋体" w:cs="宋体"/>
          <w:color w:val="auto"/>
          <w:kern w:val="0"/>
          <w:sz w:val="24"/>
          <w:szCs w:val="24"/>
          <w:highlight w:val="none"/>
          <w:u w:val="single"/>
        </w:rPr>
        <w:t>营业执照副本复印件（加盖单位公章）、法定代表人证明书（含法定代表人身份证复印件）、法定代表人授权书（含委托代理人身份证复印件）以上资料除原件外均需加盖投标单位公章；</w:t>
      </w:r>
    </w:p>
    <w:p w14:paraId="2FA3252E">
      <w:pPr>
        <w:pStyle w:val="9"/>
        <w:spacing w:after="0" w:line="360" w:lineRule="auto"/>
        <w:rPr>
          <w:rFonts w:ascii="宋体" w:cs="Times New Roman"/>
          <w:color w:val="auto"/>
          <w:kern w:val="0"/>
          <w:sz w:val="24"/>
          <w:szCs w:val="24"/>
          <w:highlight w:val="none"/>
          <w:u w:val="single"/>
        </w:rPr>
      </w:pPr>
      <w:r>
        <w:rPr>
          <w:rFonts w:hint="eastAsia" w:ascii="宋体" w:hAnsi="宋体" w:cs="宋体"/>
          <w:color w:val="auto"/>
          <w:kern w:val="0"/>
          <w:sz w:val="24"/>
          <w:szCs w:val="24"/>
          <w:highlight w:val="none"/>
          <w:u w:val="single"/>
        </w:rPr>
        <w:t>线上报名：将营业执照副本复印件（加盖单位公章）、法定代表人证明书（含法定代表人身份证复印件）、法定代表人授权书（含委托代理人身份证复印件）以上资料除原件外均需加盖投标单位公章发送至邮箱</w:t>
      </w:r>
      <w:r>
        <w:rPr>
          <w:rFonts w:ascii="宋体" w:hAnsi="宋体" w:cs="宋体"/>
          <w:color w:val="auto"/>
          <w:kern w:val="0"/>
          <w:sz w:val="24"/>
          <w:szCs w:val="24"/>
          <w:highlight w:val="none"/>
          <w:u w:val="single"/>
        </w:rPr>
        <w:t xml:space="preserve">qhrj8088@126.com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其他邮箱概不接收</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w:t>
      </w:r>
    </w:p>
    <w:p w14:paraId="6B210EA3">
      <w:pPr>
        <w:pStyle w:val="10"/>
        <w:spacing w:line="360" w:lineRule="auto"/>
        <w:rPr>
          <w:rFonts w:hAnsi="宋体" w:cs="Times New Roman"/>
          <w:b/>
          <w:bCs/>
          <w:color w:val="auto"/>
          <w:kern w:val="0"/>
          <w:sz w:val="24"/>
          <w:szCs w:val="24"/>
          <w:highlight w:val="none"/>
          <w:u w:val="single"/>
        </w:rPr>
      </w:pPr>
      <w:r>
        <w:rPr>
          <w:rFonts w:hint="eastAsia" w:hAnsi="宋体"/>
          <w:b/>
          <w:bCs/>
          <w:color w:val="auto"/>
          <w:kern w:val="0"/>
          <w:sz w:val="24"/>
          <w:szCs w:val="24"/>
          <w:highlight w:val="none"/>
          <w:u w:val="single"/>
        </w:rPr>
        <w:t>支付账户：上海容基工程项目管理有限公司青海分公司</w:t>
      </w:r>
    </w:p>
    <w:p w14:paraId="36F4F798">
      <w:pPr>
        <w:pStyle w:val="10"/>
        <w:spacing w:line="360" w:lineRule="auto"/>
        <w:rPr>
          <w:rFonts w:hAnsi="宋体" w:cs="Times New Roman"/>
          <w:b/>
          <w:bCs/>
          <w:color w:val="auto"/>
          <w:kern w:val="0"/>
          <w:sz w:val="24"/>
          <w:szCs w:val="24"/>
          <w:highlight w:val="none"/>
          <w:u w:val="single"/>
        </w:rPr>
      </w:pPr>
      <w:r>
        <w:rPr>
          <w:rFonts w:hint="eastAsia" w:hAnsi="宋体"/>
          <w:b/>
          <w:bCs/>
          <w:color w:val="auto"/>
          <w:kern w:val="0"/>
          <w:sz w:val="24"/>
          <w:szCs w:val="24"/>
          <w:highlight w:val="none"/>
          <w:u w:val="single"/>
        </w:rPr>
        <w:t>开户行：中国工商银行股份有限公司西宁城西支行</w:t>
      </w:r>
    </w:p>
    <w:p w14:paraId="22B93A56">
      <w:pPr>
        <w:pStyle w:val="10"/>
        <w:spacing w:line="360" w:lineRule="auto"/>
        <w:rPr>
          <w:rFonts w:hAnsi="宋体" w:cs="Times New Roman"/>
          <w:b/>
          <w:bCs/>
          <w:color w:val="auto"/>
          <w:highlight w:val="none"/>
        </w:rPr>
      </w:pPr>
      <w:r>
        <w:rPr>
          <w:rFonts w:hint="eastAsia" w:hAnsi="宋体"/>
          <w:b/>
          <w:bCs/>
          <w:color w:val="auto"/>
          <w:kern w:val="0"/>
          <w:sz w:val="24"/>
          <w:szCs w:val="24"/>
          <w:highlight w:val="none"/>
          <w:u w:val="single"/>
        </w:rPr>
        <w:t>账号：</w:t>
      </w:r>
      <w:r>
        <w:rPr>
          <w:rFonts w:hAnsi="宋体"/>
          <w:b/>
          <w:bCs/>
          <w:color w:val="auto"/>
          <w:kern w:val="0"/>
          <w:sz w:val="24"/>
          <w:szCs w:val="24"/>
          <w:highlight w:val="none"/>
          <w:u w:val="single"/>
        </w:rPr>
        <w:t>2806002209000006196</w:t>
      </w:r>
    </w:p>
    <w:p w14:paraId="03288D51">
      <w:pPr>
        <w:pStyle w:val="9"/>
        <w:spacing w:after="0" w:line="360" w:lineRule="auto"/>
        <w:rPr>
          <w:rFonts w:ascii="宋体" w:cs="Times New Roman"/>
          <w:color w:val="auto"/>
          <w:kern w:val="0"/>
          <w:sz w:val="24"/>
          <w:szCs w:val="24"/>
          <w:highlight w:val="none"/>
        </w:rPr>
      </w:pPr>
      <w:r>
        <w:rPr>
          <w:rFonts w:hint="eastAsia" w:ascii="宋体" w:hAnsi="宋体" w:cs="宋体"/>
          <w:color w:val="auto"/>
          <w:kern w:val="0"/>
          <w:sz w:val="24"/>
          <w:szCs w:val="24"/>
          <w:highlight w:val="none"/>
        </w:rPr>
        <w:t>注：投标询比响应人必须在报名时间截止前向采购代理机构提交报名资料及标书费（标书费以采购代理机构帐户到账时间或开具收据为准），报名时间截止后递交的潜在投标询比响应人均无资格参加此次投标。</w:t>
      </w:r>
    </w:p>
    <w:p w14:paraId="752BF31F">
      <w:pPr>
        <w:pStyle w:val="3"/>
        <w:rPr>
          <w:rFonts w:ascii="宋体" w:cs="Times New Roman"/>
          <w:color w:val="auto"/>
          <w:highlight w:val="none"/>
        </w:rPr>
      </w:pPr>
      <w:bookmarkStart w:id="19" w:name="_Toc4484"/>
      <w:bookmarkStart w:id="20" w:name="_Toc23748"/>
      <w:r>
        <w:rPr>
          <w:rFonts w:ascii="宋体" w:hAnsi="宋体" w:cs="宋体"/>
          <w:color w:val="auto"/>
          <w:highlight w:val="none"/>
        </w:rPr>
        <w:t xml:space="preserve">5 </w:t>
      </w:r>
      <w:r>
        <w:rPr>
          <w:rFonts w:hint="eastAsia" w:ascii="宋体" w:hAnsi="宋体" w:cs="宋体"/>
          <w:color w:val="auto"/>
          <w:highlight w:val="none"/>
        </w:rPr>
        <w:t>响应文件的递交</w:t>
      </w:r>
      <w:bookmarkEnd w:id="19"/>
      <w:bookmarkEnd w:id="20"/>
    </w:p>
    <w:p w14:paraId="3518ABD9">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5.1 </w:t>
      </w:r>
      <w:r>
        <w:rPr>
          <w:rFonts w:hint="eastAsia" w:ascii="宋体" w:hAnsi="宋体" w:cs="宋体"/>
          <w:color w:val="auto"/>
          <w:highlight w:val="none"/>
        </w:rPr>
        <w:t>响应文件递交的截止时间为</w:t>
      </w:r>
      <w:r>
        <w:rPr>
          <w:rFonts w:hint="eastAsia" w:ascii="宋体" w:hAnsi="宋体" w:cs="宋体"/>
          <w:color w:val="auto"/>
          <w:highlight w:val="none"/>
          <w:u w:val="single"/>
          <w:lang w:eastAsia="zh-CN"/>
        </w:rPr>
        <w:t>：2025年1月21日上午09时30分（北京时间）</w:t>
      </w:r>
      <w:r>
        <w:rPr>
          <w:rFonts w:hint="eastAsia" w:ascii="宋体" w:hAnsi="宋体" w:cs="宋体"/>
          <w:color w:val="auto"/>
          <w:highlight w:val="none"/>
        </w:rPr>
        <w:t>，地点为</w:t>
      </w:r>
      <w:r>
        <w:rPr>
          <w:rFonts w:hint="eastAsia" w:ascii="宋体" w:hAnsi="宋体" w:cs="宋体"/>
          <w:color w:val="auto"/>
          <w:highlight w:val="none"/>
          <w:u w:val="single"/>
        </w:rPr>
        <w:t>青海省西宁市西川南路</w:t>
      </w:r>
      <w:r>
        <w:rPr>
          <w:rFonts w:ascii="宋体" w:hAnsi="宋体" w:cs="宋体"/>
          <w:color w:val="auto"/>
          <w:highlight w:val="none"/>
          <w:u w:val="single"/>
        </w:rPr>
        <w:t>76</w:t>
      </w:r>
      <w:r>
        <w:rPr>
          <w:rFonts w:hint="eastAsia" w:ascii="宋体" w:hAnsi="宋体" w:cs="宋体"/>
          <w:color w:val="auto"/>
          <w:highlight w:val="none"/>
          <w:u w:val="single"/>
        </w:rPr>
        <w:t>号万达中心</w:t>
      </w:r>
      <w:r>
        <w:rPr>
          <w:rFonts w:ascii="宋体" w:hAnsi="宋体" w:cs="宋体"/>
          <w:color w:val="auto"/>
          <w:highlight w:val="none"/>
          <w:u w:val="single"/>
        </w:rPr>
        <w:t>1</w:t>
      </w:r>
      <w:r>
        <w:rPr>
          <w:rFonts w:hint="eastAsia" w:ascii="宋体" w:hAnsi="宋体" w:cs="宋体"/>
          <w:color w:val="auto"/>
          <w:highlight w:val="none"/>
          <w:u w:val="single"/>
        </w:rPr>
        <w:t>号写字楼</w:t>
      </w:r>
      <w:r>
        <w:rPr>
          <w:rFonts w:ascii="宋体" w:hAnsi="宋体" w:cs="宋体"/>
          <w:color w:val="auto"/>
          <w:highlight w:val="none"/>
          <w:u w:val="single"/>
        </w:rPr>
        <w:t>6</w:t>
      </w:r>
      <w:r>
        <w:rPr>
          <w:rFonts w:hint="eastAsia" w:ascii="宋体" w:hAnsi="宋体" w:cs="宋体"/>
          <w:color w:val="auto"/>
          <w:highlight w:val="none"/>
          <w:u w:val="single"/>
        </w:rPr>
        <w:t>楼</w:t>
      </w:r>
      <w:r>
        <w:rPr>
          <w:rFonts w:ascii="宋体" w:hAnsi="宋体" w:cs="宋体"/>
          <w:color w:val="auto"/>
          <w:highlight w:val="none"/>
          <w:u w:val="single"/>
        </w:rPr>
        <w:t>10605</w:t>
      </w:r>
      <w:r>
        <w:rPr>
          <w:rFonts w:hint="eastAsia" w:ascii="宋体" w:hAnsi="宋体" w:cs="宋体"/>
          <w:color w:val="auto"/>
          <w:highlight w:val="none"/>
          <w:u w:val="single"/>
        </w:rPr>
        <w:t>室</w:t>
      </w:r>
      <w:r>
        <w:rPr>
          <w:rFonts w:hint="eastAsia" w:ascii="宋体" w:hAnsi="宋体" w:cs="宋体"/>
          <w:color w:val="auto"/>
          <w:highlight w:val="none"/>
        </w:rPr>
        <w:t>。</w:t>
      </w:r>
    </w:p>
    <w:p w14:paraId="025BEF52">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5.2 </w:t>
      </w:r>
      <w:r>
        <w:rPr>
          <w:rFonts w:hint="eastAsia" w:ascii="宋体" w:hAnsi="宋体" w:cs="宋体"/>
          <w:color w:val="auto"/>
          <w:highlight w:val="none"/>
        </w:rPr>
        <w:t>逾期送达的、未送达指定地点的响应文件，采购人将拒绝接收。</w:t>
      </w:r>
    </w:p>
    <w:p w14:paraId="6083822C">
      <w:pPr>
        <w:pStyle w:val="3"/>
        <w:rPr>
          <w:rFonts w:ascii="宋体" w:cs="Times New Roman"/>
          <w:color w:val="auto"/>
          <w:highlight w:val="none"/>
        </w:rPr>
      </w:pPr>
      <w:bookmarkStart w:id="21" w:name="_Toc4676"/>
      <w:bookmarkStart w:id="22" w:name="_Toc21147"/>
      <w:r>
        <w:rPr>
          <w:rFonts w:ascii="宋体" w:hAnsi="宋体" w:cs="宋体"/>
          <w:color w:val="auto"/>
          <w:highlight w:val="none"/>
        </w:rPr>
        <w:t xml:space="preserve">6 </w:t>
      </w:r>
      <w:r>
        <w:rPr>
          <w:rFonts w:hint="eastAsia" w:ascii="宋体" w:hAnsi="宋体" w:cs="宋体"/>
          <w:color w:val="auto"/>
          <w:highlight w:val="none"/>
        </w:rPr>
        <w:t>响应文件开启时间和地点</w:t>
      </w:r>
      <w:bookmarkEnd w:id="21"/>
      <w:bookmarkEnd w:id="22"/>
    </w:p>
    <w:p w14:paraId="3AD6FC13">
      <w:pPr>
        <w:pStyle w:val="18"/>
        <w:widowControl/>
        <w:spacing w:beforeAutospacing="0" w:afterAutospacing="0" w:line="360" w:lineRule="auto"/>
        <w:ind w:firstLine="480" w:firstLineChars="200"/>
        <w:rPr>
          <w:rFonts w:ascii="宋体" w:cs="Times New Roman"/>
          <w:color w:val="auto"/>
          <w:highlight w:val="none"/>
          <w:u w:val="single"/>
        </w:rPr>
      </w:pPr>
      <w:r>
        <w:rPr>
          <w:rFonts w:hint="eastAsia" w:ascii="宋体" w:hAnsi="宋体" w:cs="宋体"/>
          <w:color w:val="auto"/>
          <w:highlight w:val="none"/>
        </w:rPr>
        <w:t>响应文件开启在响应文件递交截止时间的同一时间进行，地点为响应文件递交地点。邀请所有询比响应人的法定代表人（单位负责人）或其授权的代理人参加开启会议，询比响应人未派代表参加开启会议的，视为默认开启结果。</w:t>
      </w:r>
    </w:p>
    <w:p w14:paraId="1C5DA456">
      <w:pPr>
        <w:pStyle w:val="3"/>
        <w:rPr>
          <w:rFonts w:ascii="宋体" w:cs="Times New Roman"/>
          <w:color w:val="auto"/>
          <w:highlight w:val="none"/>
        </w:rPr>
      </w:pPr>
      <w:bookmarkStart w:id="23" w:name="_Toc25302"/>
      <w:bookmarkStart w:id="24" w:name="_Toc2458"/>
      <w:r>
        <w:rPr>
          <w:rFonts w:ascii="宋体" w:hAnsi="宋体" w:cs="宋体"/>
          <w:color w:val="auto"/>
          <w:highlight w:val="none"/>
        </w:rPr>
        <w:t xml:space="preserve">7 </w:t>
      </w:r>
      <w:r>
        <w:rPr>
          <w:rFonts w:hint="eastAsia" w:ascii="宋体" w:hAnsi="宋体" w:cs="宋体"/>
          <w:color w:val="auto"/>
          <w:highlight w:val="none"/>
        </w:rPr>
        <w:t>发布公告的媒介</w:t>
      </w:r>
      <w:bookmarkEnd w:id="23"/>
      <w:bookmarkEnd w:id="24"/>
    </w:p>
    <w:p w14:paraId="03D45623">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本询比采购公告在</w:t>
      </w:r>
      <w:r>
        <w:rPr>
          <w:rFonts w:hint="eastAsia" w:ascii="宋体" w:hAnsi="宋体" w:cs="宋体"/>
          <w:color w:val="auto"/>
          <w:highlight w:val="none"/>
          <w:u w:val="single"/>
        </w:rPr>
        <w:t>中国采购与招标网、青海项目信息网、</w:t>
      </w:r>
      <w:r>
        <w:rPr>
          <w:rFonts w:hint="eastAsia" w:ascii="宋体" w:hAnsi="宋体" w:cs="宋体"/>
          <w:color w:val="auto"/>
          <w:highlight w:val="none"/>
          <w:u w:val="single"/>
          <w:lang w:val="en-US" w:eastAsia="zh-CN"/>
        </w:rPr>
        <w:t>青海电子招标投标公共服务平台、</w:t>
      </w:r>
      <w:r>
        <w:rPr>
          <w:rFonts w:hint="eastAsia" w:ascii="宋体" w:hAnsi="宋体" w:cs="宋体"/>
          <w:color w:val="auto"/>
          <w:highlight w:val="none"/>
          <w:u w:val="single"/>
        </w:rPr>
        <w:t>上海容基工程项目管理有限公司青海分公司官网（</w:t>
      </w:r>
      <w:r>
        <w:rPr>
          <w:rFonts w:ascii="宋体" w:hAnsi="宋体" w:cs="宋体"/>
          <w:color w:val="auto"/>
          <w:highlight w:val="none"/>
          <w:u w:val="single"/>
        </w:rPr>
        <w:t>http://rongjiqinghai.aly20.qzkey.com/</w:t>
      </w:r>
      <w:r>
        <w:rPr>
          <w:rFonts w:hint="eastAsia" w:ascii="宋体" w:hAnsi="宋体" w:cs="宋体"/>
          <w:color w:val="auto"/>
          <w:highlight w:val="none"/>
          <w:u w:val="single"/>
        </w:rPr>
        <w:t>）</w:t>
      </w:r>
      <w:r>
        <w:rPr>
          <w:rFonts w:hint="eastAsia" w:ascii="宋体" w:hAnsi="宋体" w:cs="宋体"/>
          <w:color w:val="auto"/>
          <w:highlight w:val="none"/>
          <w:lang w:val="en-US" w:eastAsia="zh-CN"/>
        </w:rPr>
        <w:t>同时</w:t>
      </w:r>
      <w:r>
        <w:rPr>
          <w:rFonts w:hint="eastAsia" w:ascii="宋体" w:hAnsi="宋体" w:cs="宋体"/>
          <w:color w:val="auto"/>
          <w:highlight w:val="none"/>
        </w:rPr>
        <w:t>发布。</w:t>
      </w:r>
    </w:p>
    <w:p w14:paraId="37811134">
      <w:pPr>
        <w:pStyle w:val="18"/>
        <w:widowControl/>
        <w:spacing w:beforeAutospacing="0" w:afterAutospacing="0" w:line="360" w:lineRule="auto"/>
        <w:ind w:firstLine="300" w:firstLineChars="200"/>
        <w:rPr>
          <w:rFonts w:ascii="宋体" w:cs="Times New Roman"/>
          <w:color w:val="auto"/>
          <w:sz w:val="15"/>
          <w:szCs w:val="15"/>
          <w:highlight w:val="none"/>
        </w:rPr>
      </w:pPr>
      <w:r>
        <w:rPr>
          <w:rFonts w:hint="eastAsia" w:ascii="宋体" w:hAnsi="宋体" w:cs="宋体"/>
          <w:color w:val="auto"/>
          <w:sz w:val="15"/>
          <w:szCs w:val="15"/>
          <w:highlight w:val="none"/>
        </w:rPr>
        <w:t>（注∶国有资金占控股或主导地位的采购项目，采购公告应在中国招标投标公共服务平台发布，或者通过省级电子招标投标公共服务平台在中国招标投标公共服务平台发布。）</w:t>
      </w:r>
    </w:p>
    <w:p w14:paraId="3C0B0F07">
      <w:pPr>
        <w:pStyle w:val="3"/>
        <w:rPr>
          <w:rFonts w:ascii="宋体" w:cs="Times New Roman"/>
          <w:color w:val="auto"/>
          <w:highlight w:val="none"/>
        </w:rPr>
      </w:pPr>
      <w:bookmarkStart w:id="25" w:name="_Toc7569"/>
      <w:bookmarkStart w:id="26" w:name="_Toc6660"/>
      <w:r>
        <w:rPr>
          <w:rFonts w:ascii="宋体" w:hAnsi="宋体" w:cs="宋体"/>
          <w:color w:val="auto"/>
          <w:highlight w:val="none"/>
        </w:rPr>
        <w:t xml:space="preserve">8 </w:t>
      </w:r>
      <w:r>
        <w:rPr>
          <w:rFonts w:hint="eastAsia" w:ascii="宋体" w:hAnsi="宋体" w:cs="宋体"/>
          <w:color w:val="auto"/>
          <w:highlight w:val="none"/>
        </w:rPr>
        <w:t>其他</w:t>
      </w:r>
      <w:bookmarkEnd w:id="25"/>
      <w:bookmarkEnd w:id="26"/>
    </w:p>
    <w:p w14:paraId="2ABC9077">
      <w:pPr>
        <w:pStyle w:val="18"/>
        <w:widowControl/>
        <w:spacing w:beforeAutospacing="0" w:afterAutospacing="0" w:line="360" w:lineRule="auto"/>
        <w:rPr>
          <w:rFonts w:ascii="宋体" w:cs="Times New Roman"/>
          <w:color w:val="auto"/>
          <w:sz w:val="28"/>
          <w:szCs w:val="28"/>
          <w:highlight w:val="none"/>
        </w:rPr>
      </w:pPr>
      <w:r>
        <w:rPr>
          <w:rFonts w:ascii="宋体" w:hAnsi="宋体" w:cs="宋体"/>
          <w:color w:val="auto"/>
          <w:sz w:val="28"/>
          <w:szCs w:val="28"/>
          <w:highlight w:val="none"/>
          <w:u w:val="single"/>
        </w:rPr>
        <w:t xml:space="preserve">                       /                                 </w:t>
      </w:r>
    </w:p>
    <w:p w14:paraId="3F1548BC">
      <w:pPr>
        <w:pStyle w:val="18"/>
        <w:widowControl/>
        <w:spacing w:beforeAutospacing="0" w:afterAutospacing="0" w:line="360" w:lineRule="auto"/>
        <w:ind w:firstLine="300" w:firstLineChars="200"/>
        <w:rPr>
          <w:rFonts w:ascii="宋体" w:cs="Times New Roman"/>
          <w:color w:val="auto"/>
          <w:sz w:val="15"/>
          <w:szCs w:val="15"/>
          <w:highlight w:val="none"/>
        </w:rPr>
      </w:pPr>
      <w:r>
        <w:rPr>
          <w:rFonts w:hint="eastAsia" w:ascii="宋体" w:hAnsi="宋体" w:cs="宋体"/>
          <w:color w:val="auto"/>
          <w:sz w:val="15"/>
          <w:szCs w:val="15"/>
          <w:highlight w:val="none"/>
        </w:rPr>
        <w:t>（注∶可根据项目情况简述采购项目评审方法等其他需要说明的内容。）</w:t>
      </w:r>
    </w:p>
    <w:p w14:paraId="17FE9E00">
      <w:pPr>
        <w:pStyle w:val="3"/>
        <w:rPr>
          <w:rFonts w:ascii="宋体" w:cs="Times New Roman"/>
          <w:color w:val="auto"/>
          <w:highlight w:val="none"/>
        </w:rPr>
      </w:pPr>
      <w:bookmarkStart w:id="27" w:name="_Toc2997"/>
      <w:bookmarkStart w:id="28" w:name="_Toc14662"/>
      <w:r>
        <w:rPr>
          <w:rFonts w:ascii="宋体" w:hAnsi="宋体" w:cs="宋体"/>
          <w:color w:val="auto"/>
          <w:highlight w:val="none"/>
        </w:rPr>
        <w:t xml:space="preserve">9 </w:t>
      </w:r>
      <w:r>
        <w:rPr>
          <w:rFonts w:hint="eastAsia" w:ascii="宋体" w:hAnsi="宋体" w:cs="宋体"/>
          <w:color w:val="auto"/>
          <w:highlight w:val="none"/>
        </w:rPr>
        <w:t>联系方式</w:t>
      </w:r>
      <w:bookmarkEnd w:id="27"/>
      <w:bookmarkEnd w:id="28"/>
    </w:p>
    <w:p w14:paraId="2BE4576E">
      <w:pPr>
        <w:pStyle w:val="9"/>
        <w:spacing w:after="0" w:line="360" w:lineRule="auto"/>
        <w:rPr>
          <w:rFonts w:ascii="宋体" w:cs="Times New Roman"/>
          <w:color w:val="auto"/>
          <w:highlight w:val="none"/>
        </w:rPr>
        <w:sectPr>
          <w:headerReference r:id="rId3" w:type="default"/>
          <w:footerReference r:id="rId4" w:type="default"/>
          <w:pgSz w:w="11906" w:h="16838"/>
          <w:pgMar w:top="1440" w:right="1080" w:bottom="1440" w:left="1080" w:header="851" w:footer="992" w:gutter="0"/>
          <w:pgBorders w:offsetFrom="page">
            <w:top w:val="single" w:color="000000" w:sz="12" w:space="24"/>
            <w:left w:val="single" w:color="000000" w:sz="12" w:space="24"/>
            <w:bottom w:val="single" w:color="000000" w:sz="12" w:space="24"/>
            <w:right w:val="single" w:color="000000" w:sz="12" w:space="24"/>
          </w:pgBorders>
          <w:cols w:space="425" w:num="1"/>
          <w:docGrid w:type="lines" w:linePitch="312" w:charSpace="0"/>
        </w:sectPr>
      </w:pPr>
    </w:p>
    <w:tbl>
      <w:tblPr>
        <w:tblStyle w:val="20"/>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3"/>
        <w:gridCol w:w="5346"/>
      </w:tblGrid>
      <w:tr w14:paraId="1265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793" w:type="dxa"/>
          </w:tcPr>
          <w:p w14:paraId="00E74028">
            <w:pPr>
              <w:pStyle w:val="18"/>
              <w:widowControl/>
              <w:spacing w:beforeAutospacing="0" w:afterAutospacing="0" w:line="360" w:lineRule="auto"/>
              <w:ind w:left="960" w:hanging="960" w:hangingChars="400"/>
              <w:rPr>
                <w:rFonts w:hint="default" w:ascii="Arial" w:hAnsi="Arial" w:cs="Arial"/>
                <w:color w:val="auto"/>
                <w:highlight w:val="none"/>
                <w:lang w:eastAsia="zh-CN"/>
              </w:rPr>
            </w:pPr>
            <w:r>
              <w:rPr>
                <w:rFonts w:hint="default" w:ascii="Arial" w:hAnsi="Arial" w:cs="Arial"/>
                <w:color w:val="auto"/>
                <w:highlight w:val="none"/>
              </w:rPr>
              <w:t>招标人∶</w:t>
            </w:r>
            <w:r>
              <w:rPr>
                <w:rFonts w:hint="eastAsia" w:ascii="Arial" w:hAnsi="Arial" w:cs="Arial"/>
                <w:color w:val="auto"/>
                <w:highlight w:val="none"/>
                <w:lang w:eastAsia="zh-CN"/>
              </w:rPr>
              <w:t>青海民族大学</w:t>
            </w:r>
          </w:p>
        </w:tc>
        <w:tc>
          <w:tcPr>
            <w:tcW w:w="5346" w:type="dxa"/>
          </w:tcPr>
          <w:p w14:paraId="6018B2B7">
            <w:pPr>
              <w:pStyle w:val="18"/>
              <w:widowControl/>
              <w:spacing w:beforeAutospacing="0" w:afterAutospacing="0" w:line="360" w:lineRule="auto"/>
              <w:rPr>
                <w:rFonts w:hint="default" w:ascii="Arial" w:hAnsi="Arial" w:cs="Arial"/>
                <w:color w:val="auto"/>
                <w:highlight w:val="none"/>
              </w:rPr>
            </w:pPr>
            <w:r>
              <w:rPr>
                <w:rFonts w:hint="default" w:ascii="Arial" w:hAnsi="Arial" w:cs="Arial"/>
                <w:color w:val="auto"/>
                <w:highlight w:val="none"/>
              </w:rPr>
              <w:t>采购代理机构∶</w:t>
            </w:r>
          </w:p>
          <w:p w14:paraId="5ACF734E">
            <w:pPr>
              <w:pStyle w:val="18"/>
              <w:widowControl/>
              <w:spacing w:beforeAutospacing="0" w:afterAutospacing="0" w:line="360" w:lineRule="auto"/>
              <w:rPr>
                <w:rFonts w:hint="default" w:ascii="Arial" w:hAnsi="Arial" w:cs="Arial"/>
                <w:color w:val="auto"/>
                <w:highlight w:val="none"/>
              </w:rPr>
            </w:pPr>
            <w:r>
              <w:rPr>
                <w:rFonts w:hint="default" w:ascii="Arial" w:hAnsi="Arial" w:cs="Arial"/>
                <w:color w:val="auto"/>
                <w:highlight w:val="none"/>
              </w:rPr>
              <w:t>上海容基工程项目管理有限公司</w:t>
            </w:r>
          </w:p>
        </w:tc>
      </w:tr>
      <w:tr w14:paraId="509F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4793" w:type="dxa"/>
          </w:tcPr>
          <w:p w14:paraId="36083F39">
            <w:pPr>
              <w:pStyle w:val="18"/>
              <w:widowControl/>
              <w:spacing w:beforeAutospacing="0" w:afterAutospacing="0" w:line="360" w:lineRule="auto"/>
              <w:rPr>
                <w:rFonts w:hint="default" w:ascii="Arial" w:hAnsi="Arial" w:cs="Arial"/>
                <w:color w:val="auto"/>
                <w:highlight w:val="none"/>
              </w:rPr>
            </w:pPr>
            <w:r>
              <w:rPr>
                <w:rFonts w:hint="default" w:ascii="Arial" w:hAnsi="Arial" w:cs="Arial"/>
                <w:color w:val="auto"/>
                <w:highlight w:val="none"/>
              </w:rPr>
              <w:t>地址∶</w:t>
            </w:r>
            <w:r>
              <w:rPr>
                <w:rFonts w:hint="default" w:ascii="Arial" w:hAnsi="Arial" w:cs="Arial"/>
                <w:color w:val="auto"/>
                <w:highlight w:val="none"/>
                <w:lang w:val="en-US" w:eastAsia="zh-CN"/>
              </w:rPr>
              <w:t>西宁市城东区博雅路与夏都大街交叉口西150米</w:t>
            </w:r>
          </w:p>
        </w:tc>
        <w:tc>
          <w:tcPr>
            <w:tcW w:w="5346" w:type="dxa"/>
          </w:tcPr>
          <w:p w14:paraId="4534931D">
            <w:pPr>
              <w:pStyle w:val="18"/>
              <w:widowControl/>
              <w:spacing w:beforeAutospacing="0" w:afterAutospacing="0" w:line="360" w:lineRule="auto"/>
              <w:rPr>
                <w:rFonts w:hint="default" w:ascii="Arial" w:hAnsi="Arial" w:cs="Arial"/>
                <w:color w:val="auto"/>
                <w:highlight w:val="none"/>
              </w:rPr>
            </w:pPr>
            <w:r>
              <w:rPr>
                <w:rFonts w:hint="default" w:ascii="Arial" w:hAnsi="Arial" w:cs="Arial"/>
                <w:color w:val="auto"/>
                <w:highlight w:val="none"/>
              </w:rPr>
              <w:t>地址∶</w:t>
            </w:r>
            <w:r>
              <w:rPr>
                <w:rFonts w:hint="default" w:ascii="Arial" w:hAnsi="Arial" w:cs="Arial"/>
                <w:color w:val="auto"/>
                <w:highlight w:val="none"/>
                <w:lang w:val="zh-CN"/>
              </w:rPr>
              <w:t>青海省西宁市西川南路</w:t>
            </w:r>
            <w:r>
              <w:rPr>
                <w:rFonts w:hint="default" w:ascii="Arial" w:hAnsi="Arial" w:cs="Arial"/>
                <w:color w:val="auto"/>
                <w:highlight w:val="none"/>
              </w:rPr>
              <w:t>76</w:t>
            </w:r>
            <w:r>
              <w:rPr>
                <w:rFonts w:hint="default" w:ascii="Arial" w:hAnsi="Arial" w:cs="Arial"/>
                <w:color w:val="auto"/>
                <w:highlight w:val="none"/>
                <w:lang w:val="zh-CN"/>
              </w:rPr>
              <w:t>号万达中心</w:t>
            </w:r>
            <w:r>
              <w:rPr>
                <w:rFonts w:hint="default" w:ascii="Arial" w:hAnsi="Arial" w:cs="Arial"/>
                <w:color w:val="auto"/>
                <w:highlight w:val="none"/>
              </w:rPr>
              <w:t>1</w:t>
            </w:r>
            <w:r>
              <w:rPr>
                <w:rFonts w:hint="default" w:ascii="Arial" w:hAnsi="Arial" w:cs="Arial"/>
                <w:color w:val="auto"/>
                <w:highlight w:val="none"/>
                <w:lang w:val="zh-CN"/>
              </w:rPr>
              <w:t>号写字楼</w:t>
            </w:r>
            <w:r>
              <w:rPr>
                <w:rFonts w:hint="default" w:ascii="Arial" w:hAnsi="Arial" w:cs="Arial"/>
                <w:color w:val="auto"/>
                <w:highlight w:val="none"/>
              </w:rPr>
              <w:t>6</w:t>
            </w:r>
            <w:r>
              <w:rPr>
                <w:rFonts w:hint="default" w:ascii="Arial" w:hAnsi="Arial" w:cs="Arial"/>
                <w:color w:val="auto"/>
                <w:highlight w:val="none"/>
                <w:lang w:val="zh-CN"/>
              </w:rPr>
              <w:t>楼</w:t>
            </w:r>
            <w:r>
              <w:rPr>
                <w:rFonts w:hint="default" w:ascii="Arial" w:hAnsi="Arial" w:cs="Arial"/>
                <w:color w:val="auto"/>
                <w:highlight w:val="none"/>
              </w:rPr>
              <w:t>10608</w:t>
            </w:r>
            <w:r>
              <w:rPr>
                <w:rFonts w:hint="default" w:ascii="Arial" w:hAnsi="Arial" w:cs="Arial"/>
                <w:color w:val="auto"/>
                <w:highlight w:val="none"/>
                <w:lang w:val="zh-CN"/>
              </w:rPr>
              <w:t>室</w:t>
            </w:r>
          </w:p>
        </w:tc>
      </w:tr>
      <w:tr w14:paraId="3639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793" w:type="dxa"/>
          </w:tcPr>
          <w:p w14:paraId="70F703DD">
            <w:pPr>
              <w:pStyle w:val="18"/>
              <w:widowControl/>
              <w:spacing w:beforeAutospacing="0" w:afterAutospacing="0" w:line="360" w:lineRule="auto"/>
              <w:rPr>
                <w:rFonts w:hint="eastAsia" w:ascii="Arial" w:hAnsi="Arial" w:cs="Arial"/>
                <w:color w:val="auto"/>
                <w:highlight w:val="none"/>
                <w:lang w:val="en-US" w:eastAsia="zh-CN"/>
              </w:rPr>
            </w:pPr>
            <w:r>
              <w:rPr>
                <w:rFonts w:hint="default" w:ascii="Arial" w:hAnsi="Arial" w:cs="Arial"/>
                <w:color w:val="auto"/>
                <w:highlight w:val="none"/>
              </w:rPr>
              <w:t>邮政编码∶</w:t>
            </w:r>
            <w:r>
              <w:rPr>
                <w:rFonts w:hint="eastAsia" w:ascii="宋体" w:hAnsi="宋体" w:eastAsia="宋体" w:cs="宋体"/>
                <w:color w:val="auto"/>
                <w:sz w:val="24"/>
                <w:highlight w:val="none"/>
              </w:rPr>
              <w:t>81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000</w:t>
            </w:r>
          </w:p>
        </w:tc>
        <w:tc>
          <w:tcPr>
            <w:tcW w:w="5346" w:type="dxa"/>
          </w:tcPr>
          <w:p w14:paraId="3F43E7D7">
            <w:pPr>
              <w:pStyle w:val="18"/>
              <w:widowControl/>
              <w:spacing w:beforeAutospacing="0" w:afterAutospacing="0" w:line="360" w:lineRule="auto"/>
              <w:rPr>
                <w:rFonts w:hint="default" w:ascii="Arial" w:hAnsi="Arial" w:cs="Arial"/>
                <w:color w:val="auto"/>
                <w:highlight w:val="none"/>
              </w:rPr>
            </w:pPr>
            <w:r>
              <w:rPr>
                <w:rFonts w:hint="default" w:ascii="Arial" w:hAnsi="Arial" w:cs="Arial"/>
                <w:color w:val="auto"/>
                <w:highlight w:val="none"/>
              </w:rPr>
              <w:t>邮政编码∶810000</w:t>
            </w:r>
          </w:p>
        </w:tc>
      </w:tr>
      <w:tr w14:paraId="6ACF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793" w:type="dxa"/>
          </w:tcPr>
          <w:p w14:paraId="01517BA2">
            <w:pPr>
              <w:pStyle w:val="18"/>
              <w:widowControl/>
              <w:spacing w:beforeAutospacing="0" w:afterAutospacing="0" w:line="360" w:lineRule="auto"/>
              <w:rPr>
                <w:rFonts w:hint="default" w:ascii="Arial" w:hAnsi="Arial" w:cs="Arial"/>
                <w:color w:val="auto"/>
                <w:highlight w:val="none"/>
                <w:lang w:val="en-US"/>
              </w:rPr>
            </w:pPr>
            <w:r>
              <w:rPr>
                <w:rFonts w:hint="default" w:ascii="Arial" w:hAnsi="Arial" w:cs="Arial"/>
                <w:color w:val="auto"/>
                <w:highlight w:val="none"/>
              </w:rPr>
              <w:t>联系人∶</w:t>
            </w:r>
            <w:r>
              <w:rPr>
                <w:rFonts w:hint="eastAsia" w:ascii="宋体" w:hAnsi="宋体" w:eastAsia="宋体" w:cs="宋体"/>
                <w:color w:val="auto"/>
                <w:sz w:val="24"/>
                <w:highlight w:val="none"/>
                <w:lang w:eastAsia="zh-CN"/>
              </w:rPr>
              <w:t>李老师</w:t>
            </w:r>
          </w:p>
        </w:tc>
        <w:tc>
          <w:tcPr>
            <w:tcW w:w="5346" w:type="dxa"/>
          </w:tcPr>
          <w:p w14:paraId="5CAAFEA8">
            <w:pPr>
              <w:pStyle w:val="18"/>
              <w:widowControl/>
              <w:spacing w:beforeAutospacing="0" w:afterAutospacing="0" w:line="360" w:lineRule="auto"/>
              <w:rPr>
                <w:rFonts w:hint="default" w:ascii="Arial" w:hAnsi="Arial" w:cs="Arial"/>
                <w:color w:val="auto"/>
                <w:highlight w:val="none"/>
              </w:rPr>
            </w:pPr>
            <w:r>
              <w:rPr>
                <w:rFonts w:hint="default" w:ascii="Arial" w:hAnsi="Arial" w:cs="Arial"/>
                <w:color w:val="auto"/>
                <w:highlight w:val="none"/>
              </w:rPr>
              <w:t>联系人∶</w:t>
            </w:r>
            <w:r>
              <w:rPr>
                <w:rFonts w:hint="default" w:ascii="Arial" w:hAnsi="Arial" w:cs="Arial"/>
                <w:color w:val="auto"/>
                <w:highlight w:val="none"/>
                <w:lang w:eastAsia="zh-CN"/>
              </w:rPr>
              <w:t>郭女士</w:t>
            </w:r>
          </w:p>
        </w:tc>
      </w:tr>
      <w:tr w14:paraId="1590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793" w:type="dxa"/>
          </w:tcPr>
          <w:p w14:paraId="48FDEA35">
            <w:pPr>
              <w:pStyle w:val="18"/>
              <w:widowControl/>
              <w:spacing w:beforeAutospacing="0" w:afterAutospacing="0" w:line="360" w:lineRule="auto"/>
              <w:rPr>
                <w:rFonts w:hint="default" w:ascii="Arial" w:hAnsi="Arial" w:eastAsia="宋体" w:cs="Arial"/>
                <w:color w:val="auto"/>
                <w:highlight w:val="none"/>
                <w:lang w:val="en-US" w:eastAsia="zh-CN"/>
              </w:rPr>
            </w:pPr>
            <w:r>
              <w:rPr>
                <w:rFonts w:hint="default" w:ascii="Arial" w:hAnsi="Arial" w:cs="Arial"/>
                <w:color w:val="auto"/>
                <w:highlight w:val="none"/>
              </w:rPr>
              <w:t>电话∶</w:t>
            </w:r>
            <w:r>
              <w:rPr>
                <w:rFonts w:hint="eastAsia" w:ascii="Arial" w:hAnsi="Arial" w:cs="Arial"/>
                <w:color w:val="auto"/>
                <w:highlight w:val="none"/>
                <w:lang w:val="en-US" w:eastAsia="zh-CN"/>
              </w:rPr>
              <w:t>0971-8802687</w:t>
            </w:r>
          </w:p>
        </w:tc>
        <w:tc>
          <w:tcPr>
            <w:tcW w:w="5346" w:type="dxa"/>
          </w:tcPr>
          <w:p w14:paraId="09BDB5A3">
            <w:pPr>
              <w:pStyle w:val="18"/>
              <w:widowControl/>
              <w:spacing w:beforeAutospacing="0" w:afterAutospacing="0" w:line="360" w:lineRule="auto"/>
              <w:rPr>
                <w:rFonts w:hint="default" w:ascii="Arial" w:hAnsi="Arial" w:eastAsia="宋体" w:cs="Arial"/>
                <w:color w:val="auto"/>
                <w:highlight w:val="none"/>
                <w:lang w:eastAsia="zh-CN"/>
              </w:rPr>
            </w:pPr>
            <w:r>
              <w:rPr>
                <w:rFonts w:hint="default" w:ascii="Arial" w:hAnsi="Arial" w:cs="Arial"/>
                <w:color w:val="auto"/>
                <w:highlight w:val="none"/>
              </w:rPr>
              <w:t>电话∶0971-8166798-</w:t>
            </w:r>
            <w:r>
              <w:rPr>
                <w:rFonts w:hint="default" w:ascii="Arial" w:hAnsi="Arial" w:cs="Arial"/>
                <w:color w:val="auto"/>
                <w:highlight w:val="none"/>
                <w:lang w:val="en-US" w:eastAsia="zh-CN"/>
              </w:rPr>
              <w:t>0</w:t>
            </w:r>
          </w:p>
        </w:tc>
      </w:tr>
      <w:tr w14:paraId="1D7D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793" w:type="dxa"/>
          </w:tcPr>
          <w:p w14:paraId="5387BD49">
            <w:pPr>
              <w:pStyle w:val="18"/>
              <w:widowControl/>
              <w:spacing w:beforeAutospacing="0" w:afterAutospacing="0" w:line="360" w:lineRule="auto"/>
              <w:rPr>
                <w:rFonts w:hint="eastAsia" w:ascii="Arial" w:hAnsi="Arial" w:eastAsia="宋体" w:cs="Arial"/>
                <w:color w:val="auto"/>
                <w:highlight w:val="none"/>
                <w:lang w:val="en-US" w:eastAsia="zh-CN"/>
              </w:rPr>
            </w:pPr>
            <w:r>
              <w:rPr>
                <w:rFonts w:hint="default" w:ascii="Arial" w:hAnsi="Arial" w:cs="Arial"/>
                <w:color w:val="auto"/>
                <w:highlight w:val="none"/>
              </w:rPr>
              <w:t>电子邮箱∶</w:t>
            </w:r>
            <w:r>
              <w:rPr>
                <w:rFonts w:hint="eastAsia" w:ascii="Arial" w:hAnsi="Arial" w:cs="Arial"/>
                <w:color w:val="auto"/>
                <w:highlight w:val="none"/>
                <w:lang w:val="en-US" w:eastAsia="zh-CN"/>
              </w:rPr>
              <w:t>/</w:t>
            </w:r>
          </w:p>
        </w:tc>
        <w:tc>
          <w:tcPr>
            <w:tcW w:w="5346" w:type="dxa"/>
          </w:tcPr>
          <w:p w14:paraId="5E2305C6">
            <w:pPr>
              <w:pStyle w:val="18"/>
              <w:widowControl/>
              <w:spacing w:beforeAutospacing="0" w:afterAutospacing="0" w:line="360" w:lineRule="auto"/>
              <w:rPr>
                <w:rFonts w:hint="default" w:ascii="Arial" w:hAnsi="Arial" w:cs="Arial"/>
                <w:color w:val="auto"/>
                <w:highlight w:val="none"/>
              </w:rPr>
            </w:pPr>
            <w:r>
              <w:rPr>
                <w:rFonts w:hint="default" w:ascii="Arial" w:hAnsi="Arial" w:cs="Arial"/>
                <w:color w:val="auto"/>
                <w:highlight w:val="none"/>
              </w:rPr>
              <w:t>电子邮箱∶qhrj8</w:t>
            </w:r>
            <w:r>
              <w:rPr>
                <w:rFonts w:hint="eastAsia" w:ascii="Arial" w:hAnsi="Arial" w:cs="Arial"/>
                <w:color w:val="auto"/>
                <w:highlight w:val="none"/>
                <w:lang w:val="en-US" w:eastAsia="zh-CN"/>
              </w:rPr>
              <w:t>1</w:t>
            </w:r>
            <w:r>
              <w:rPr>
                <w:rFonts w:hint="default" w:ascii="Arial" w:hAnsi="Arial" w:cs="Arial"/>
                <w:color w:val="auto"/>
                <w:highlight w:val="none"/>
              </w:rPr>
              <w:t>8</w:t>
            </w:r>
            <w:r>
              <w:rPr>
                <w:rFonts w:hint="eastAsia" w:ascii="Arial" w:hAnsi="Arial" w:cs="Arial"/>
                <w:color w:val="auto"/>
                <w:highlight w:val="none"/>
                <w:lang w:val="en-US" w:eastAsia="zh-CN"/>
              </w:rPr>
              <w:t>6</w:t>
            </w:r>
            <w:r>
              <w:rPr>
                <w:rFonts w:hint="default" w:ascii="Arial" w:hAnsi="Arial" w:cs="Arial"/>
                <w:color w:val="auto"/>
                <w:highlight w:val="none"/>
              </w:rPr>
              <w:t>@126.com</w:t>
            </w:r>
          </w:p>
        </w:tc>
      </w:tr>
      <w:tr w14:paraId="1CF0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793" w:type="dxa"/>
          </w:tcPr>
          <w:p w14:paraId="30EC5EA1">
            <w:pPr>
              <w:pStyle w:val="18"/>
              <w:widowControl/>
              <w:spacing w:beforeAutospacing="0" w:afterAutospacing="0" w:line="360" w:lineRule="auto"/>
              <w:rPr>
                <w:rFonts w:hint="eastAsia" w:ascii="Arial" w:hAnsi="Arial" w:eastAsia="宋体" w:cs="Arial"/>
                <w:color w:val="auto"/>
                <w:highlight w:val="none"/>
                <w:lang w:val="en-US" w:eastAsia="zh-CN"/>
              </w:rPr>
            </w:pPr>
            <w:r>
              <w:rPr>
                <w:rFonts w:hint="default" w:ascii="Arial" w:hAnsi="Arial" w:cs="Arial"/>
                <w:color w:val="auto"/>
                <w:highlight w:val="none"/>
              </w:rPr>
              <w:t>开户银行∶</w:t>
            </w:r>
            <w:r>
              <w:rPr>
                <w:rFonts w:hint="eastAsia" w:ascii="Arial" w:hAnsi="Arial" w:cs="Arial"/>
                <w:color w:val="auto"/>
                <w:highlight w:val="none"/>
                <w:lang w:val="en-US" w:eastAsia="zh-CN"/>
              </w:rPr>
              <w:t>/</w:t>
            </w:r>
          </w:p>
        </w:tc>
        <w:tc>
          <w:tcPr>
            <w:tcW w:w="5346" w:type="dxa"/>
          </w:tcPr>
          <w:p w14:paraId="2410B88B">
            <w:pPr>
              <w:pStyle w:val="18"/>
              <w:widowControl/>
              <w:spacing w:beforeAutospacing="0" w:afterAutospacing="0" w:line="360" w:lineRule="auto"/>
              <w:rPr>
                <w:rFonts w:hint="default" w:ascii="Arial" w:hAnsi="Arial" w:cs="Arial"/>
                <w:color w:val="auto"/>
                <w:highlight w:val="none"/>
              </w:rPr>
            </w:pPr>
            <w:r>
              <w:rPr>
                <w:rFonts w:hint="default" w:ascii="Arial" w:hAnsi="Arial" w:cs="Arial"/>
                <w:color w:val="auto"/>
                <w:highlight w:val="none"/>
              </w:rPr>
              <w:t>开户银行∶中国工商银行股份有限公司西宁城西支行</w:t>
            </w:r>
          </w:p>
        </w:tc>
      </w:tr>
      <w:tr w14:paraId="49F0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793" w:type="dxa"/>
          </w:tcPr>
          <w:p w14:paraId="638EDEFA">
            <w:pPr>
              <w:pStyle w:val="18"/>
              <w:widowControl/>
              <w:spacing w:beforeAutospacing="0" w:afterAutospacing="0" w:line="360" w:lineRule="auto"/>
              <w:rPr>
                <w:rFonts w:hint="eastAsia" w:ascii="Arial" w:hAnsi="Arial" w:eastAsia="宋体" w:cs="Arial"/>
                <w:color w:val="auto"/>
                <w:highlight w:val="none"/>
                <w:lang w:val="en-US" w:eastAsia="zh-CN"/>
              </w:rPr>
            </w:pPr>
            <w:r>
              <w:rPr>
                <w:rFonts w:hint="default" w:ascii="Arial" w:hAnsi="Arial" w:cs="Arial"/>
                <w:color w:val="auto"/>
                <w:highlight w:val="none"/>
              </w:rPr>
              <w:t>账号：</w:t>
            </w:r>
            <w:r>
              <w:rPr>
                <w:rFonts w:hint="eastAsia" w:ascii="Arial" w:hAnsi="Arial" w:cs="Arial"/>
                <w:color w:val="auto"/>
                <w:highlight w:val="none"/>
                <w:lang w:val="en-US" w:eastAsia="zh-CN"/>
              </w:rPr>
              <w:t>/</w:t>
            </w:r>
          </w:p>
        </w:tc>
        <w:tc>
          <w:tcPr>
            <w:tcW w:w="5346" w:type="dxa"/>
          </w:tcPr>
          <w:p w14:paraId="1936E9C8">
            <w:pPr>
              <w:pStyle w:val="18"/>
              <w:widowControl/>
              <w:spacing w:beforeAutospacing="0" w:afterAutospacing="0" w:line="360" w:lineRule="auto"/>
              <w:rPr>
                <w:rFonts w:hint="default" w:ascii="Arial" w:hAnsi="Arial" w:cs="Arial"/>
                <w:color w:val="auto"/>
                <w:highlight w:val="none"/>
              </w:rPr>
            </w:pPr>
            <w:r>
              <w:rPr>
                <w:rFonts w:hint="default" w:ascii="Arial" w:hAnsi="Arial" w:cs="Arial"/>
                <w:color w:val="auto"/>
                <w:highlight w:val="none"/>
              </w:rPr>
              <w:t>账号：</w:t>
            </w:r>
            <w:r>
              <w:rPr>
                <w:rFonts w:hint="default" w:ascii="Arial" w:hAnsi="Arial" w:cs="Arial"/>
                <w:b w:val="0"/>
                <w:bCs w:val="0"/>
                <w:color w:val="auto"/>
                <w:highlight w:val="none"/>
              </w:rPr>
              <w:t>2806002209000006196</w:t>
            </w:r>
          </w:p>
        </w:tc>
      </w:tr>
      <w:tr w14:paraId="047E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139" w:type="dxa"/>
            <w:gridSpan w:val="2"/>
          </w:tcPr>
          <w:p w14:paraId="0DABF482">
            <w:pPr>
              <w:pStyle w:val="18"/>
              <w:widowControl/>
              <w:spacing w:beforeAutospacing="0" w:afterAutospacing="0" w:line="360" w:lineRule="auto"/>
              <w:rPr>
                <w:rFonts w:hint="default" w:ascii="Arial" w:hAnsi="Arial" w:eastAsia="宋体" w:cs="Arial"/>
                <w:color w:val="auto"/>
                <w:highlight w:val="none"/>
                <w:lang w:val="en-US" w:eastAsia="zh-CN"/>
              </w:rPr>
            </w:pPr>
            <w:r>
              <w:rPr>
                <w:rFonts w:hint="eastAsia" w:ascii="Arial" w:hAnsi="Arial" w:cs="Arial"/>
                <w:color w:val="auto"/>
                <w:highlight w:val="none"/>
                <w:lang w:val="en-US" w:eastAsia="zh-CN"/>
              </w:rPr>
              <w:t>备注：本项目在青海电子招标投标公共服务平台发布的公告主要起宣传作用，实际的采购方式皆以本项目</w:t>
            </w:r>
            <w:r>
              <w:rPr>
                <w:rFonts w:hint="eastAsia" w:ascii="宋体" w:hAnsi="宋体" w:eastAsia="宋体" w:cs="宋体"/>
                <w:i w:val="0"/>
                <w:iCs w:val="0"/>
                <w:caps w:val="0"/>
                <w:color w:val="000000"/>
                <w:spacing w:val="0"/>
                <w:sz w:val="24"/>
                <w:szCs w:val="24"/>
              </w:rPr>
              <w:t>询比采购文件</w:t>
            </w:r>
            <w:r>
              <w:rPr>
                <w:rFonts w:hint="eastAsia" w:ascii="Arial" w:hAnsi="Arial" w:cs="Arial"/>
                <w:color w:val="auto"/>
                <w:highlight w:val="none"/>
                <w:lang w:val="en-US" w:eastAsia="zh-CN"/>
              </w:rPr>
              <w:t>为准。</w:t>
            </w:r>
          </w:p>
        </w:tc>
      </w:tr>
    </w:tbl>
    <w:p w14:paraId="20A6727E">
      <w:pPr>
        <w:pStyle w:val="18"/>
        <w:widowControl/>
        <w:spacing w:beforeAutospacing="0" w:afterAutospacing="0" w:line="360" w:lineRule="auto"/>
        <w:ind w:firstLine="5280" w:firstLineChars="2200"/>
        <w:jc w:val="right"/>
        <w:rPr>
          <w:rFonts w:ascii="宋体" w:cs="Times New Roman"/>
          <w:color w:val="auto"/>
          <w:highlight w:val="none"/>
          <w:u w:val="single"/>
        </w:rPr>
      </w:pPr>
      <w:r>
        <w:rPr>
          <w:rFonts w:hint="default" w:ascii="Arial" w:hAnsi="Arial" w:cs="Arial"/>
          <w:color w:val="auto"/>
          <w:highlight w:val="none"/>
          <w:u w:val="single"/>
        </w:rPr>
        <w:t>202</w:t>
      </w:r>
      <w:r>
        <w:rPr>
          <w:rFonts w:hint="eastAsia" w:ascii="Arial" w:hAnsi="Arial" w:cs="Arial"/>
          <w:color w:val="auto"/>
          <w:highlight w:val="none"/>
          <w:u w:val="single"/>
          <w:lang w:val="en-US" w:eastAsia="zh-CN"/>
        </w:rPr>
        <w:t>5</w:t>
      </w:r>
      <w:r>
        <w:rPr>
          <w:rFonts w:hint="eastAsia" w:ascii="Arial" w:hAnsi="Arial" w:cs="Arial"/>
          <w:color w:val="auto"/>
          <w:highlight w:val="none"/>
          <w:u w:val="single"/>
        </w:rPr>
        <w:t>年</w:t>
      </w:r>
      <w:r>
        <w:rPr>
          <w:rFonts w:hint="eastAsia" w:ascii="Arial" w:hAnsi="Arial" w:cs="Arial"/>
          <w:color w:val="auto"/>
          <w:highlight w:val="none"/>
          <w:u w:val="single"/>
          <w:lang w:val="en-US" w:eastAsia="zh-CN"/>
        </w:rPr>
        <w:t>01</w:t>
      </w:r>
      <w:r>
        <w:rPr>
          <w:rFonts w:hint="eastAsia" w:ascii="Arial" w:hAnsi="Arial" w:cs="Arial"/>
          <w:color w:val="auto"/>
          <w:highlight w:val="none"/>
          <w:u w:val="single"/>
        </w:rPr>
        <w:t>月</w:t>
      </w:r>
      <w:r>
        <w:rPr>
          <w:rFonts w:hint="eastAsia" w:ascii="Arial" w:hAnsi="Arial" w:cs="Arial"/>
          <w:color w:val="auto"/>
          <w:highlight w:val="none"/>
          <w:u w:val="single"/>
          <w:lang w:val="en-US" w:eastAsia="zh-CN"/>
        </w:rPr>
        <w:t>14</w:t>
      </w:r>
      <w:r>
        <w:rPr>
          <w:rFonts w:hint="eastAsia" w:ascii="Arial" w:hAnsi="Arial" w:cs="Arial"/>
          <w:color w:val="auto"/>
          <w:highlight w:val="none"/>
          <w:u w:val="single"/>
        </w:rPr>
        <w:t>日</w:t>
      </w:r>
    </w:p>
    <w:p w14:paraId="3AD4E2BA">
      <w:pPr>
        <w:spacing w:line="360" w:lineRule="auto"/>
        <w:rPr>
          <w:rFonts w:ascii="宋体" w:cs="Times New Roman"/>
          <w:b/>
          <w:bCs/>
          <w:color w:val="auto"/>
          <w:sz w:val="44"/>
          <w:szCs w:val="44"/>
          <w:highlight w:val="none"/>
        </w:rPr>
      </w:pPr>
      <w:r>
        <w:rPr>
          <w:rFonts w:ascii="宋体" w:cs="Times New Roman"/>
          <w:color w:val="auto"/>
          <w:sz w:val="32"/>
          <w:szCs w:val="32"/>
          <w:highlight w:val="none"/>
        </w:rPr>
        <w:br w:type="page"/>
      </w:r>
    </w:p>
    <w:p w14:paraId="0561E643">
      <w:pPr>
        <w:pStyle w:val="2"/>
        <w:spacing w:line="360" w:lineRule="auto"/>
        <w:rPr>
          <w:rFonts w:ascii="宋体" w:cs="Times New Roman"/>
          <w:color w:val="auto"/>
          <w:spacing w:val="20"/>
          <w:highlight w:val="none"/>
        </w:rPr>
      </w:pPr>
      <w:bookmarkStart w:id="29" w:name="_Toc6116"/>
      <w:r>
        <w:rPr>
          <w:rFonts w:hint="eastAsia" w:ascii="宋体" w:hAnsi="宋体" w:cs="宋体"/>
          <w:color w:val="auto"/>
          <w:highlight w:val="none"/>
        </w:rPr>
        <w:t>第二章</w:t>
      </w:r>
      <w:r>
        <w:rPr>
          <w:rFonts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询比响应人须知</w:t>
      </w:r>
      <w:bookmarkEnd w:id="29"/>
    </w:p>
    <w:p w14:paraId="64747663">
      <w:pPr>
        <w:pStyle w:val="3"/>
        <w:rPr>
          <w:rFonts w:ascii="宋体" w:cs="Times New Roman"/>
          <w:color w:val="auto"/>
          <w:sz w:val="32"/>
          <w:szCs w:val="32"/>
          <w:highlight w:val="none"/>
        </w:rPr>
      </w:pPr>
      <w:bookmarkStart w:id="30" w:name="_Toc26248"/>
      <w:bookmarkStart w:id="31" w:name="_Toc5687"/>
      <w:r>
        <w:rPr>
          <w:rFonts w:hint="eastAsia" w:ascii="宋体" w:hAnsi="宋体" w:cs="宋体"/>
          <w:color w:val="auto"/>
          <w:sz w:val="36"/>
          <w:szCs w:val="36"/>
          <w:highlight w:val="none"/>
        </w:rPr>
        <w:t>询比响应人须知前附表</w:t>
      </w:r>
      <w:bookmarkEnd w:id="30"/>
      <w:bookmarkEnd w:id="31"/>
    </w:p>
    <w:tbl>
      <w:tblPr>
        <w:tblStyle w:val="20"/>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3375"/>
        <w:gridCol w:w="5506"/>
      </w:tblGrid>
      <w:tr w14:paraId="330A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6" w:type="dxa"/>
            <w:vAlign w:val="center"/>
          </w:tcPr>
          <w:p w14:paraId="7F2BC438">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条款号</w:t>
            </w:r>
          </w:p>
        </w:tc>
        <w:tc>
          <w:tcPr>
            <w:tcW w:w="3375" w:type="dxa"/>
            <w:vAlign w:val="center"/>
          </w:tcPr>
          <w:p w14:paraId="2C78D0F0">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条</w:t>
            </w:r>
            <w:r>
              <w:rPr>
                <w:rFonts w:ascii="宋体" w:hAnsi="宋体" w:cs="宋体"/>
                <w:color w:val="auto"/>
                <w:highlight w:val="none"/>
              </w:rPr>
              <w:t xml:space="preserve"> </w:t>
            </w:r>
            <w:r>
              <w:rPr>
                <w:rFonts w:hint="eastAsia" w:ascii="宋体" w:hAnsi="宋体" w:cs="宋体"/>
                <w:color w:val="auto"/>
                <w:highlight w:val="none"/>
              </w:rPr>
              <w:t>款</w:t>
            </w:r>
            <w:r>
              <w:rPr>
                <w:rFonts w:ascii="宋体" w:hAnsi="宋体" w:cs="宋体"/>
                <w:color w:val="auto"/>
                <w:highlight w:val="none"/>
              </w:rPr>
              <w:t xml:space="preserve"> </w:t>
            </w:r>
            <w:r>
              <w:rPr>
                <w:rFonts w:hint="eastAsia" w:ascii="宋体" w:hAnsi="宋体" w:cs="宋体"/>
                <w:color w:val="auto"/>
                <w:highlight w:val="none"/>
              </w:rPr>
              <w:t>内</w:t>
            </w:r>
            <w:r>
              <w:rPr>
                <w:rFonts w:ascii="宋体" w:hAnsi="宋体" w:cs="宋体"/>
                <w:color w:val="auto"/>
                <w:highlight w:val="none"/>
              </w:rPr>
              <w:t xml:space="preserve"> </w:t>
            </w:r>
            <w:r>
              <w:rPr>
                <w:rFonts w:hint="eastAsia" w:ascii="宋体" w:hAnsi="宋体" w:cs="宋体"/>
                <w:color w:val="auto"/>
                <w:highlight w:val="none"/>
              </w:rPr>
              <w:t>容</w:t>
            </w:r>
          </w:p>
        </w:tc>
        <w:tc>
          <w:tcPr>
            <w:tcW w:w="5506" w:type="dxa"/>
            <w:vAlign w:val="center"/>
          </w:tcPr>
          <w:p w14:paraId="64A0784D">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编</w:t>
            </w:r>
            <w:r>
              <w:rPr>
                <w:rFonts w:ascii="宋体" w:hAnsi="宋体" w:cs="宋体"/>
                <w:color w:val="auto"/>
                <w:highlight w:val="none"/>
              </w:rPr>
              <w:t xml:space="preserve"> </w:t>
            </w:r>
            <w:r>
              <w:rPr>
                <w:rFonts w:hint="eastAsia" w:ascii="宋体" w:hAnsi="宋体" w:cs="宋体"/>
                <w:color w:val="auto"/>
                <w:highlight w:val="none"/>
              </w:rPr>
              <w:t>列</w:t>
            </w:r>
            <w:r>
              <w:rPr>
                <w:rFonts w:ascii="宋体" w:hAnsi="宋体" w:cs="宋体"/>
                <w:color w:val="auto"/>
                <w:highlight w:val="none"/>
              </w:rPr>
              <w:t xml:space="preserve"> </w:t>
            </w:r>
            <w:r>
              <w:rPr>
                <w:rFonts w:hint="eastAsia" w:ascii="宋体" w:hAnsi="宋体" w:cs="宋体"/>
                <w:color w:val="auto"/>
                <w:highlight w:val="none"/>
              </w:rPr>
              <w:t>内</w:t>
            </w:r>
            <w:r>
              <w:rPr>
                <w:rFonts w:ascii="宋体" w:hAnsi="宋体" w:cs="宋体"/>
                <w:color w:val="auto"/>
                <w:highlight w:val="none"/>
              </w:rPr>
              <w:t xml:space="preserve"> </w:t>
            </w:r>
            <w:r>
              <w:rPr>
                <w:rFonts w:hint="eastAsia" w:ascii="宋体" w:hAnsi="宋体" w:cs="宋体"/>
                <w:color w:val="auto"/>
                <w:highlight w:val="none"/>
              </w:rPr>
              <w:t>容</w:t>
            </w:r>
          </w:p>
        </w:tc>
      </w:tr>
      <w:tr w14:paraId="7A0C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6" w:type="dxa"/>
            <w:vAlign w:val="center"/>
          </w:tcPr>
          <w:p w14:paraId="616AAB5E">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1.7.1</w:t>
            </w:r>
          </w:p>
        </w:tc>
        <w:tc>
          <w:tcPr>
            <w:tcW w:w="3375" w:type="dxa"/>
            <w:vAlign w:val="center"/>
          </w:tcPr>
          <w:p w14:paraId="2663F76A">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踏勘现场</w:t>
            </w:r>
          </w:p>
        </w:tc>
        <w:tc>
          <w:tcPr>
            <w:tcW w:w="5506" w:type="dxa"/>
            <w:vAlign w:val="center"/>
          </w:tcPr>
          <w:p w14:paraId="2A22BC7F">
            <w:pPr>
              <w:pStyle w:val="18"/>
              <w:widowControl/>
              <w:spacing w:beforeAutospacing="0" w:afterAutospacing="0" w:line="360" w:lineRule="auto"/>
              <w:jc w:val="both"/>
              <w:rPr>
                <w:rFonts w:ascii="宋体" w:cs="Times New Roman"/>
                <w:color w:val="auto"/>
                <w:highlight w:val="none"/>
              </w:rPr>
            </w:pPr>
            <w:r>
              <w:rPr>
                <w:rFonts w:hint="eastAsia" w:ascii="宋体" w:hAnsi="Wingdings" w:cs="Times New Roman"/>
                <w:color w:val="auto"/>
                <w:sz w:val="24"/>
                <w:szCs w:val="24"/>
                <w:highlight w:val="none"/>
              </w:rPr>
              <w:sym w:font="Wingdings" w:char="F0FE"/>
            </w:r>
            <w:r>
              <w:rPr>
                <w:rFonts w:hint="eastAsia" w:ascii="宋体" w:hAnsi="宋体" w:cs="宋体"/>
                <w:color w:val="auto"/>
                <w:highlight w:val="none"/>
              </w:rPr>
              <w:t>不组织</w:t>
            </w:r>
          </w:p>
          <w:p w14:paraId="11CAE56B">
            <w:pPr>
              <w:pStyle w:val="18"/>
              <w:widowControl/>
              <w:spacing w:beforeAutospacing="0" w:afterAutospacing="0" w:line="360" w:lineRule="auto"/>
              <w:jc w:val="both"/>
              <w:rPr>
                <w:rFonts w:ascii="宋体" w:cs="Times New Roman"/>
                <w:color w:val="auto"/>
                <w:highlight w:val="none"/>
                <w:u w:val="single"/>
              </w:rPr>
            </w:pPr>
            <w:r>
              <w:rPr>
                <w:rFonts w:hint="eastAsia" w:ascii="宋体" w:hAnsi="Wingdings 2" w:cs="Times New Roman"/>
                <w:color w:val="auto"/>
                <w:highlight w:val="none"/>
              </w:rPr>
              <w:sym w:font="Wingdings" w:char="00A8"/>
            </w:r>
            <w:r>
              <w:rPr>
                <w:rFonts w:hint="eastAsia" w:ascii="宋体" w:hAnsi="宋体" w:cs="宋体"/>
                <w:color w:val="auto"/>
                <w:highlight w:val="none"/>
              </w:rPr>
              <w:t>组织，踏勘时间：</w:t>
            </w:r>
          </w:p>
          <w:p w14:paraId="1A7C04E5">
            <w:pPr>
              <w:pStyle w:val="18"/>
              <w:widowControl/>
              <w:spacing w:beforeAutospacing="0" w:afterAutospacing="0" w:line="360" w:lineRule="auto"/>
              <w:ind w:firstLine="960" w:firstLineChars="400"/>
              <w:jc w:val="both"/>
              <w:rPr>
                <w:rFonts w:ascii="宋体" w:cs="Times New Roman"/>
                <w:color w:val="auto"/>
                <w:highlight w:val="none"/>
                <w:u w:val="single"/>
              </w:rPr>
            </w:pPr>
            <w:r>
              <w:rPr>
                <w:rFonts w:hint="eastAsia" w:ascii="宋体" w:hAnsi="宋体" w:cs="宋体"/>
                <w:color w:val="auto"/>
                <w:highlight w:val="none"/>
              </w:rPr>
              <w:t>踏勘集中地点：</w:t>
            </w:r>
          </w:p>
        </w:tc>
      </w:tr>
      <w:tr w14:paraId="4336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6" w:type="dxa"/>
            <w:vAlign w:val="center"/>
          </w:tcPr>
          <w:p w14:paraId="73C3B834">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1.8</w:t>
            </w:r>
          </w:p>
        </w:tc>
        <w:tc>
          <w:tcPr>
            <w:tcW w:w="3375" w:type="dxa"/>
            <w:vAlign w:val="center"/>
          </w:tcPr>
          <w:p w14:paraId="21DF1A51">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询比采购预备会</w:t>
            </w:r>
          </w:p>
        </w:tc>
        <w:tc>
          <w:tcPr>
            <w:tcW w:w="5506" w:type="dxa"/>
            <w:vAlign w:val="center"/>
          </w:tcPr>
          <w:p w14:paraId="5AC47C91">
            <w:pPr>
              <w:pStyle w:val="18"/>
              <w:widowControl/>
              <w:spacing w:beforeAutospacing="0" w:afterAutospacing="0" w:line="360" w:lineRule="auto"/>
              <w:jc w:val="both"/>
              <w:rPr>
                <w:rFonts w:ascii="宋体" w:cs="Times New Roman"/>
                <w:color w:val="auto"/>
                <w:highlight w:val="none"/>
              </w:rPr>
            </w:pPr>
            <w:r>
              <w:rPr>
                <w:rFonts w:hint="eastAsia" w:ascii="宋体" w:hAnsi="Wingdings" w:cs="Times New Roman"/>
                <w:color w:val="auto"/>
                <w:sz w:val="24"/>
                <w:szCs w:val="24"/>
                <w:highlight w:val="none"/>
              </w:rPr>
              <w:sym w:font="Wingdings" w:char="F0FE"/>
            </w:r>
            <w:r>
              <w:rPr>
                <w:rFonts w:hint="eastAsia" w:ascii="宋体" w:hAnsi="宋体" w:cs="宋体"/>
                <w:color w:val="auto"/>
                <w:highlight w:val="none"/>
              </w:rPr>
              <w:t>不召开</w:t>
            </w:r>
          </w:p>
          <w:p w14:paraId="4738236A">
            <w:pPr>
              <w:pStyle w:val="18"/>
              <w:widowControl/>
              <w:spacing w:beforeAutospacing="0" w:afterAutospacing="0" w:line="360" w:lineRule="auto"/>
              <w:jc w:val="both"/>
              <w:rPr>
                <w:rFonts w:ascii="宋体" w:cs="Times New Roman"/>
                <w:color w:val="auto"/>
                <w:highlight w:val="none"/>
                <w:u w:val="single"/>
              </w:rPr>
            </w:pPr>
            <w:r>
              <w:rPr>
                <w:rFonts w:hint="eastAsia" w:ascii="宋体" w:hAnsi="Wingdings 2" w:cs="Times New Roman"/>
                <w:color w:val="auto"/>
                <w:highlight w:val="none"/>
              </w:rPr>
              <w:sym w:font="Wingdings" w:char="00A8"/>
            </w:r>
            <w:r>
              <w:rPr>
                <w:rFonts w:hint="eastAsia" w:ascii="宋体" w:hAnsi="宋体" w:cs="宋体"/>
                <w:color w:val="auto"/>
                <w:highlight w:val="none"/>
              </w:rPr>
              <w:t>召开，召开时间：</w:t>
            </w:r>
          </w:p>
          <w:p w14:paraId="427CECCF">
            <w:pPr>
              <w:pStyle w:val="18"/>
              <w:widowControl/>
              <w:spacing w:beforeAutospacing="0" w:afterAutospacing="0" w:line="360" w:lineRule="auto"/>
              <w:ind w:firstLine="960" w:firstLineChars="400"/>
              <w:jc w:val="both"/>
              <w:rPr>
                <w:rFonts w:ascii="宋体" w:cs="宋体"/>
                <w:color w:val="auto"/>
                <w:highlight w:val="none"/>
              </w:rPr>
            </w:pPr>
            <w:r>
              <w:rPr>
                <w:rFonts w:hint="eastAsia" w:ascii="宋体" w:hAnsi="宋体" w:cs="宋体"/>
                <w:color w:val="auto"/>
                <w:highlight w:val="none"/>
              </w:rPr>
              <w:t>召开地点：</w:t>
            </w:r>
            <w:r>
              <w:rPr>
                <w:rFonts w:ascii="宋体" w:cs="宋体"/>
                <w:color w:val="auto"/>
                <w:highlight w:val="none"/>
              </w:rPr>
              <w:t>.</w:t>
            </w:r>
          </w:p>
        </w:tc>
      </w:tr>
      <w:tr w14:paraId="1F89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6" w:type="dxa"/>
            <w:vAlign w:val="center"/>
          </w:tcPr>
          <w:p w14:paraId="63CFD479">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1.9</w:t>
            </w:r>
          </w:p>
        </w:tc>
        <w:tc>
          <w:tcPr>
            <w:tcW w:w="3375" w:type="dxa"/>
            <w:vAlign w:val="center"/>
          </w:tcPr>
          <w:p w14:paraId="64DC7CD6">
            <w:pPr>
              <w:widowControl/>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分包</w:t>
            </w:r>
          </w:p>
        </w:tc>
        <w:tc>
          <w:tcPr>
            <w:tcW w:w="5506" w:type="dxa"/>
            <w:vAlign w:val="center"/>
          </w:tcPr>
          <w:p w14:paraId="5BA27376">
            <w:pPr>
              <w:widowControl/>
              <w:spacing w:line="360" w:lineRule="auto"/>
              <w:rPr>
                <w:rFonts w:ascii="宋体" w:cs="Times New Roman"/>
                <w:color w:val="auto"/>
                <w:sz w:val="24"/>
                <w:szCs w:val="24"/>
                <w:highlight w:val="none"/>
              </w:rPr>
            </w:pPr>
            <w:r>
              <w:rPr>
                <w:rFonts w:hint="eastAsia" w:ascii="宋体" w:hAnsi="Wingdings" w:cs="Times New Roman"/>
                <w:color w:val="auto"/>
                <w:sz w:val="24"/>
                <w:szCs w:val="24"/>
                <w:highlight w:val="none"/>
              </w:rPr>
              <w:sym w:font="Wingdings" w:char="F0FE"/>
            </w:r>
            <w:r>
              <w:rPr>
                <w:rFonts w:hint="eastAsia" w:ascii="宋体" w:hAnsi="宋体" w:cs="宋体"/>
                <w:color w:val="auto"/>
                <w:sz w:val="24"/>
                <w:szCs w:val="24"/>
                <w:highlight w:val="none"/>
              </w:rPr>
              <w:t>不允许</w:t>
            </w:r>
          </w:p>
          <w:p w14:paraId="30CE74E2">
            <w:pPr>
              <w:spacing w:line="360" w:lineRule="auto"/>
              <w:rPr>
                <w:rFonts w:ascii="宋体" w:cs="Times New Roman"/>
                <w:color w:val="auto"/>
                <w:sz w:val="24"/>
                <w:szCs w:val="24"/>
                <w:highlight w:val="none"/>
                <w:u w:val="single"/>
              </w:rPr>
            </w:pPr>
            <w:r>
              <w:rPr>
                <w:rFonts w:hint="eastAsia" w:ascii="宋体" w:hAnsi="宋体" w:cs="宋体"/>
                <w:color w:val="auto"/>
                <w:sz w:val="24"/>
                <w:szCs w:val="24"/>
                <w:highlight w:val="none"/>
              </w:rPr>
              <w:t>不得分包的内容∶</w:t>
            </w:r>
          </w:p>
          <w:p w14:paraId="5297783F">
            <w:pPr>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t>对分包投标人的要求∶</w:t>
            </w:r>
          </w:p>
        </w:tc>
      </w:tr>
      <w:tr w14:paraId="7D67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6" w:type="dxa"/>
            <w:vAlign w:val="center"/>
          </w:tcPr>
          <w:p w14:paraId="4E936C30">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1.10.2</w:t>
            </w:r>
          </w:p>
        </w:tc>
        <w:tc>
          <w:tcPr>
            <w:tcW w:w="3375" w:type="dxa"/>
            <w:vAlign w:val="center"/>
          </w:tcPr>
          <w:p w14:paraId="0F4BEC27">
            <w:pPr>
              <w:widowControl/>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对非关键条款的偏差</w:t>
            </w:r>
          </w:p>
        </w:tc>
        <w:tc>
          <w:tcPr>
            <w:tcW w:w="5506" w:type="dxa"/>
            <w:vAlign w:val="center"/>
          </w:tcPr>
          <w:p w14:paraId="02BFE014">
            <w:pPr>
              <w:widowControl/>
              <w:spacing w:line="360" w:lineRule="auto"/>
              <w:rPr>
                <w:rFonts w:ascii="宋体" w:cs="Times New Roman"/>
                <w:color w:val="auto"/>
                <w:sz w:val="24"/>
                <w:szCs w:val="24"/>
                <w:highlight w:val="none"/>
              </w:rPr>
            </w:pPr>
            <w:r>
              <w:rPr>
                <w:rFonts w:hint="eastAsia" w:ascii="宋体" w:hAnsi="Wingdings" w:cs="Times New Roman"/>
                <w:color w:val="auto"/>
                <w:sz w:val="24"/>
                <w:szCs w:val="24"/>
                <w:highlight w:val="none"/>
              </w:rPr>
              <w:sym w:font="Wingdings" w:char="F0FE"/>
            </w:r>
            <w:r>
              <w:rPr>
                <w:rFonts w:hint="eastAsia" w:ascii="宋体" w:hAnsi="宋体" w:cs="宋体"/>
                <w:color w:val="auto"/>
                <w:sz w:val="24"/>
                <w:szCs w:val="24"/>
                <w:highlight w:val="none"/>
              </w:rPr>
              <w:t>不允许</w:t>
            </w:r>
          </w:p>
          <w:p w14:paraId="4C5CABD6">
            <w:pPr>
              <w:spacing w:line="360" w:lineRule="auto"/>
              <w:rPr>
                <w:rFonts w:ascii="宋体" w:cs="Times New Roman"/>
                <w:color w:val="auto"/>
                <w:sz w:val="24"/>
                <w:szCs w:val="24"/>
                <w:highlight w:val="none"/>
                <w:u w:val="single"/>
              </w:rPr>
            </w:pPr>
            <w:r>
              <w:rPr>
                <w:rFonts w:hint="eastAsia" w:ascii="宋体" w:hAnsi="宋体" w:cs="宋体"/>
                <w:color w:val="auto"/>
                <w:sz w:val="24"/>
                <w:szCs w:val="24"/>
                <w:highlight w:val="none"/>
              </w:rPr>
              <w:t>允许偏差的范围∶</w:t>
            </w:r>
          </w:p>
          <w:p w14:paraId="0FBFFDDE">
            <w:pPr>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t>仓许偏差的项数∶</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项</w:t>
            </w:r>
          </w:p>
        </w:tc>
      </w:tr>
      <w:tr w14:paraId="6EC4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6" w:type="dxa"/>
            <w:vAlign w:val="center"/>
          </w:tcPr>
          <w:p w14:paraId="04BE1A1D">
            <w:pPr>
              <w:spacing w:line="360" w:lineRule="auto"/>
              <w:jc w:val="center"/>
              <w:rPr>
                <w:rFonts w:ascii="宋体" w:cs="Times New Roman"/>
                <w:color w:val="auto"/>
                <w:sz w:val="24"/>
                <w:szCs w:val="24"/>
                <w:highlight w:val="none"/>
              </w:rPr>
            </w:pPr>
            <w:r>
              <w:rPr>
                <w:rFonts w:ascii="宋体" w:hAnsi="宋体" w:cs="宋体"/>
                <w:color w:val="auto"/>
                <w:sz w:val="24"/>
                <w:szCs w:val="24"/>
                <w:highlight w:val="none"/>
              </w:rPr>
              <w:t>2.1(7)</w:t>
            </w:r>
          </w:p>
        </w:tc>
        <w:tc>
          <w:tcPr>
            <w:tcW w:w="3375" w:type="dxa"/>
            <w:vAlign w:val="center"/>
          </w:tcPr>
          <w:p w14:paraId="7A84A994">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构成采购文件的其他资料</w:t>
            </w:r>
          </w:p>
        </w:tc>
        <w:tc>
          <w:tcPr>
            <w:tcW w:w="5506" w:type="dxa"/>
            <w:vAlign w:val="center"/>
          </w:tcPr>
          <w:p w14:paraId="27C63201">
            <w:pPr>
              <w:spacing w:line="360" w:lineRule="auto"/>
              <w:rPr>
                <w:rFonts w:ascii="宋体" w:cs="Times New Roman"/>
                <w:color w:val="auto"/>
                <w:sz w:val="24"/>
                <w:szCs w:val="24"/>
                <w:highlight w:val="none"/>
                <w:u w:val="single"/>
              </w:rPr>
            </w:pPr>
            <w:r>
              <w:rPr>
                <w:rFonts w:hint="eastAsia" w:ascii="宋体" w:hAnsi="宋体" w:cs="宋体"/>
                <w:color w:val="auto"/>
                <w:sz w:val="24"/>
                <w:szCs w:val="24"/>
                <w:highlight w:val="none"/>
              </w:rPr>
              <w:t>资料名称∶</w:t>
            </w:r>
            <w:r>
              <w:rPr>
                <w:rFonts w:hint="eastAsia" w:ascii="宋体" w:hAnsi="宋体" w:cs="宋体"/>
                <w:color w:val="auto"/>
                <w:sz w:val="24"/>
                <w:szCs w:val="24"/>
                <w:highlight w:val="none"/>
                <w:u w:val="single"/>
              </w:rPr>
              <w:t>变更内容、图纸及询比过程中通知和补遗书等</w:t>
            </w:r>
          </w:p>
        </w:tc>
      </w:tr>
      <w:tr w14:paraId="37DF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6" w:type="dxa"/>
            <w:vAlign w:val="center"/>
          </w:tcPr>
          <w:p w14:paraId="4B04BD72">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2.2.1</w:t>
            </w:r>
          </w:p>
        </w:tc>
        <w:tc>
          <w:tcPr>
            <w:tcW w:w="3375" w:type="dxa"/>
            <w:vAlign w:val="center"/>
          </w:tcPr>
          <w:p w14:paraId="3EA12246">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询比响应人要求澄清采购文件的时间</w:t>
            </w:r>
          </w:p>
        </w:tc>
        <w:tc>
          <w:tcPr>
            <w:tcW w:w="5506" w:type="dxa"/>
            <w:vAlign w:val="center"/>
          </w:tcPr>
          <w:p w14:paraId="2829C7E1">
            <w:pPr>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t>截止时间∶</w:t>
            </w:r>
            <w:r>
              <w:rPr>
                <w:rFonts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20</w:t>
            </w:r>
            <w:r>
              <w:rPr>
                <w:rFonts w:hint="eastAsia" w:ascii="宋体" w:hAnsi="宋体" w:cs="宋体"/>
                <w:color w:val="auto"/>
                <w:sz w:val="24"/>
                <w:szCs w:val="24"/>
                <w:highlight w:val="none"/>
                <w:u w:val="single"/>
              </w:rPr>
              <w:t>日下午</w:t>
            </w:r>
            <w:r>
              <w:rPr>
                <w:rFonts w:ascii="宋体" w:hAnsi="宋体" w:cs="宋体"/>
                <w:color w:val="auto"/>
                <w:sz w:val="24"/>
                <w:szCs w:val="24"/>
                <w:highlight w:val="none"/>
                <w:u w:val="single"/>
              </w:rPr>
              <w:t>17:00</w:t>
            </w:r>
            <w:r>
              <w:rPr>
                <w:rFonts w:hint="eastAsia" w:ascii="宋体" w:hAnsi="宋体" w:cs="宋体"/>
                <w:color w:val="auto"/>
                <w:sz w:val="24"/>
                <w:szCs w:val="24"/>
                <w:highlight w:val="none"/>
                <w:u w:val="single"/>
              </w:rPr>
              <w:t>分</w:t>
            </w:r>
          </w:p>
        </w:tc>
      </w:tr>
      <w:tr w14:paraId="30C8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6" w:type="dxa"/>
            <w:vAlign w:val="center"/>
          </w:tcPr>
          <w:p w14:paraId="2E7ADE4B">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2.2.3</w:t>
            </w:r>
          </w:p>
        </w:tc>
        <w:tc>
          <w:tcPr>
            <w:tcW w:w="3375" w:type="dxa"/>
            <w:vAlign w:val="center"/>
          </w:tcPr>
          <w:p w14:paraId="6346812C">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投标人确认收到招标</w:t>
            </w:r>
          </w:p>
          <w:p w14:paraId="7DCF40A7">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文件补充文件</w:t>
            </w:r>
          </w:p>
        </w:tc>
        <w:tc>
          <w:tcPr>
            <w:tcW w:w="5506" w:type="dxa"/>
            <w:vAlign w:val="center"/>
          </w:tcPr>
          <w:p w14:paraId="06251667">
            <w:pPr>
              <w:widowControl/>
              <w:spacing w:line="360" w:lineRule="auto"/>
              <w:rPr>
                <w:rFonts w:ascii="宋体" w:cs="Times New Roman"/>
                <w:color w:val="auto"/>
                <w:sz w:val="24"/>
                <w:szCs w:val="24"/>
                <w:highlight w:val="none"/>
              </w:rPr>
            </w:pPr>
            <w:r>
              <w:rPr>
                <w:rFonts w:hint="eastAsia" w:ascii="宋体" w:hAnsi="Wingdings" w:cs="Times New Roman"/>
                <w:color w:val="auto"/>
                <w:sz w:val="24"/>
                <w:szCs w:val="24"/>
                <w:highlight w:val="none"/>
              </w:rPr>
              <w:sym w:font="Wingdings" w:char="F0FE"/>
            </w:r>
            <w:r>
              <w:rPr>
                <w:rFonts w:hint="eastAsia" w:ascii="宋体" w:hAnsi="宋体" w:cs="宋体"/>
                <w:color w:val="auto"/>
                <w:sz w:val="24"/>
                <w:szCs w:val="24"/>
                <w:highlight w:val="none"/>
              </w:rPr>
              <w:t>不适用</w:t>
            </w:r>
          </w:p>
          <w:p w14:paraId="745F9BC4">
            <w:pPr>
              <w:spacing w:line="360" w:lineRule="auto"/>
              <w:rPr>
                <w:rFonts w:ascii="宋体" w:cs="Times New Roman"/>
                <w:color w:val="auto"/>
                <w:sz w:val="24"/>
                <w:szCs w:val="24"/>
                <w:highlight w:val="none"/>
                <w:u w:val="single"/>
              </w:rPr>
            </w:pPr>
            <w:r>
              <w:rPr>
                <w:rFonts w:hint="eastAsia" w:ascii="宋体" w:hAnsi="宋体" w:cs="宋体"/>
                <w:color w:val="auto"/>
                <w:sz w:val="24"/>
                <w:szCs w:val="24"/>
                <w:highlight w:val="none"/>
              </w:rPr>
              <w:t>确认的最晚时间∶</w:t>
            </w:r>
          </w:p>
          <w:p w14:paraId="7B334EEC">
            <w:pPr>
              <w:spacing w:line="360" w:lineRule="auto"/>
              <w:rPr>
                <w:rFonts w:ascii="宋体" w:cs="Times New Roman"/>
                <w:color w:val="auto"/>
                <w:sz w:val="24"/>
                <w:szCs w:val="24"/>
                <w:highlight w:val="none"/>
                <w:u w:val="single"/>
              </w:rPr>
            </w:pPr>
            <w:r>
              <w:rPr>
                <w:rFonts w:hint="eastAsia" w:ascii="宋体" w:hAnsi="宋体" w:cs="宋体"/>
                <w:color w:val="auto"/>
                <w:sz w:val="24"/>
                <w:szCs w:val="24"/>
                <w:highlight w:val="none"/>
              </w:rPr>
              <w:t>确认的方式∶</w:t>
            </w:r>
          </w:p>
        </w:tc>
      </w:tr>
      <w:tr w14:paraId="6EA7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6" w:type="dxa"/>
            <w:vAlign w:val="center"/>
          </w:tcPr>
          <w:p w14:paraId="4F4D646E">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3.1.1(9)</w:t>
            </w:r>
          </w:p>
        </w:tc>
        <w:tc>
          <w:tcPr>
            <w:tcW w:w="3375" w:type="dxa"/>
            <w:vAlign w:val="center"/>
          </w:tcPr>
          <w:p w14:paraId="1C5117E1">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构成响应文件的其他资料</w:t>
            </w:r>
          </w:p>
        </w:tc>
        <w:tc>
          <w:tcPr>
            <w:tcW w:w="5506" w:type="dxa"/>
            <w:vAlign w:val="center"/>
          </w:tcPr>
          <w:p w14:paraId="6F344BC0">
            <w:pPr>
              <w:spacing w:line="360" w:lineRule="auto"/>
              <w:rPr>
                <w:rFonts w:ascii="宋体" w:cs="Times New Roman"/>
                <w:color w:val="auto"/>
                <w:sz w:val="24"/>
                <w:szCs w:val="24"/>
                <w:highlight w:val="none"/>
                <w:u w:val="single"/>
              </w:rPr>
            </w:pPr>
            <w:r>
              <w:rPr>
                <w:rFonts w:hint="eastAsia" w:ascii="宋体" w:hAnsi="宋体" w:cs="宋体"/>
                <w:color w:val="auto"/>
                <w:sz w:val="24"/>
                <w:szCs w:val="24"/>
                <w:highlight w:val="none"/>
              </w:rPr>
              <w:t>资料名称∶</w:t>
            </w:r>
            <w:r>
              <w:rPr>
                <w:rFonts w:hint="eastAsia" w:ascii="宋体" w:hAnsi="宋体" w:cs="宋体"/>
                <w:color w:val="auto"/>
                <w:sz w:val="24"/>
                <w:szCs w:val="24"/>
                <w:highlight w:val="none"/>
                <w:u w:val="single"/>
              </w:rPr>
              <w:t>询比响应人可根据项目或评审办法进行需要补充的资料</w:t>
            </w:r>
          </w:p>
        </w:tc>
      </w:tr>
      <w:tr w14:paraId="52F4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6" w:type="dxa"/>
            <w:vAlign w:val="center"/>
          </w:tcPr>
          <w:p w14:paraId="666192D8">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3.2.2</w:t>
            </w:r>
          </w:p>
        </w:tc>
        <w:tc>
          <w:tcPr>
            <w:tcW w:w="3375" w:type="dxa"/>
            <w:vAlign w:val="center"/>
          </w:tcPr>
          <w:p w14:paraId="77F3F9F6">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招标标的数量增减幅度</w:t>
            </w:r>
          </w:p>
        </w:tc>
        <w:tc>
          <w:tcPr>
            <w:tcW w:w="5506" w:type="dxa"/>
            <w:vAlign w:val="center"/>
          </w:tcPr>
          <w:p w14:paraId="080B9A19">
            <w:pPr>
              <w:widowControl/>
              <w:spacing w:line="360" w:lineRule="auto"/>
              <w:rPr>
                <w:rFonts w:ascii="宋体" w:cs="Times New Roman"/>
                <w:color w:val="auto"/>
                <w:sz w:val="24"/>
                <w:szCs w:val="24"/>
                <w:highlight w:val="none"/>
              </w:rPr>
            </w:pPr>
            <w:r>
              <w:rPr>
                <w:rFonts w:hint="eastAsia" w:ascii="宋体" w:hAnsi="Wingdings" w:cs="Times New Roman"/>
                <w:color w:val="auto"/>
                <w:sz w:val="24"/>
                <w:szCs w:val="24"/>
                <w:highlight w:val="none"/>
              </w:rPr>
              <w:sym w:font="Wingdings" w:char="F0FE"/>
            </w:r>
            <w:r>
              <w:rPr>
                <w:rFonts w:hint="eastAsia" w:ascii="宋体" w:hAnsi="宋体" w:cs="宋体"/>
                <w:color w:val="auto"/>
                <w:sz w:val="24"/>
                <w:szCs w:val="24"/>
                <w:highlight w:val="none"/>
              </w:rPr>
              <w:t>不适用</w:t>
            </w:r>
          </w:p>
          <w:p w14:paraId="139832FC">
            <w:pPr>
              <w:widowControl/>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招标标的数量增减幅度</w:t>
            </w:r>
            <w:r>
              <w:rPr>
                <w:rFonts w:ascii="宋体" w:hAnsi="宋体" w:cs="宋体"/>
                <w:color w:val="auto"/>
                <w:sz w:val="24"/>
                <w:szCs w:val="24"/>
                <w:highlight w:val="none"/>
              </w:rPr>
              <w:t>:%</w:t>
            </w:r>
          </w:p>
          <w:p w14:paraId="26B7B811">
            <w:pPr>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t>（注∶数量增减幅度通常在</w:t>
            </w:r>
            <w:r>
              <w:rPr>
                <w:rFonts w:ascii="宋体" w:hAnsi="宋体" w:cs="宋体"/>
                <w:color w:val="auto"/>
                <w:sz w:val="24"/>
                <w:szCs w:val="24"/>
                <w:highlight w:val="none"/>
              </w:rPr>
              <w:t>10%</w:t>
            </w:r>
            <w:r>
              <w:rPr>
                <w:rFonts w:hint="eastAsia" w:ascii="宋体" w:hAnsi="宋体" w:cs="宋体"/>
                <w:color w:val="auto"/>
                <w:sz w:val="24"/>
                <w:szCs w:val="24"/>
                <w:highlight w:val="none"/>
              </w:rPr>
              <w:t>以内。）</w:t>
            </w:r>
          </w:p>
        </w:tc>
      </w:tr>
      <w:tr w14:paraId="350A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76" w:type="dxa"/>
            <w:vAlign w:val="center"/>
          </w:tcPr>
          <w:p w14:paraId="1EC74FFD">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3.2.3</w:t>
            </w:r>
          </w:p>
        </w:tc>
        <w:tc>
          <w:tcPr>
            <w:tcW w:w="3375" w:type="dxa"/>
            <w:vAlign w:val="center"/>
          </w:tcPr>
          <w:p w14:paraId="7560CE71">
            <w:pPr>
              <w:spacing w:line="360" w:lineRule="auto"/>
              <w:jc w:val="center"/>
              <w:rPr>
                <w:rFonts w:hint="eastAsia" w:ascii="宋体" w:eastAsia="宋体" w:cs="Times New Roman"/>
                <w:color w:val="auto"/>
                <w:sz w:val="24"/>
                <w:szCs w:val="24"/>
                <w:highlight w:val="none"/>
                <w:lang w:eastAsia="zh-CN"/>
              </w:rPr>
            </w:pPr>
            <w:r>
              <w:rPr>
                <w:rFonts w:hint="eastAsia" w:ascii="宋体" w:hAnsi="宋体" w:cs="宋体"/>
                <w:color w:val="auto"/>
                <w:sz w:val="24"/>
                <w:szCs w:val="24"/>
                <w:highlight w:val="none"/>
                <w:lang w:eastAsia="zh-CN"/>
              </w:rPr>
              <w:t>报价要求</w:t>
            </w:r>
          </w:p>
        </w:tc>
        <w:tc>
          <w:tcPr>
            <w:tcW w:w="5506" w:type="dxa"/>
            <w:vAlign w:val="center"/>
          </w:tcPr>
          <w:p w14:paraId="2B567D66">
            <w:pPr>
              <w:widowControl/>
              <w:spacing w:line="360" w:lineRule="auto"/>
              <w:rPr>
                <w:rFonts w:hint="default" w:ascii="宋体" w:cs="Times New Roman"/>
                <w:color w:val="auto"/>
                <w:sz w:val="24"/>
                <w:szCs w:val="24"/>
                <w:highlight w:val="none"/>
                <w:lang w:val="en-US"/>
              </w:rPr>
            </w:pPr>
            <w:r>
              <w:rPr>
                <w:rFonts w:hint="eastAsia" w:ascii="宋体" w:hAnsi="宋体" w:cs="宋体"/>
                <w:color w:val="auto"/>
                <w:kern w:val="0"/>
                <w:sz w:val="24"/>
                <w:szCs w:val="24"/>
                <w:highlight w:val="none"/>
                <w:u w:val="none"/>
                <w:lang w:val="en-US" w:eastAsia="zh-CN"/>
              </w:rPr>
              <w:t>采购预算控制额度：</w:t>
            </w:r>
            <w:r>
              <w:rPr>
                <w:rFonts w:hint="eastAsia" w:ascii="宋体" w:hAnsi="Wingdings" w:cs="Times New Roman"/>
                <w:color w:val="auto"/>
                <w:sz w:val="24"/>
                <w:szCs w:val="24"/>
                <w:highlight w:val="none"/>
              </w:rPr>
              <w:sym w:font="Wingdings" w:char="F0FE"/>
            </w:r>
            <w:r>
              <w:rPr>
                <w:rFonts w:hint="eastAsia" w:ascii="宋体" w:hAnsi="宋体" w:cs="宋体"/>
                <w:color w:val="auto"/>
                <w:sz w:val="24"/>
                <w:szCs w:val="24"/>
                <w:highlight w:val="none"/>
              </w:rPr>
              <w:t>不适用</w:t>
            </w:r>
          </w:p>
        </w:tc>
      </w:tr>
      <w:tr w14:paraId="5C38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6" w:type="dxa"/>
            <w:vAlign w:val="center"/>
          </w:tcPr>
          <w:p w14:paraId="7EEC2B03">
            <w:pPr>
              <w:spacing w:line="360" w:lineRule="auto"/>
              <w:jc w:val="center"/>
              <w:rPr>
                <w:rFonts w:ascii="宋体" w:cs="Times New Roman"/>
                <w:color w:val="auto"/>
                <w:sz w:val="24"/>
                <w:szCs w:val="24"/>
                <w:highlight w:val="none"/>
              </w:rPr>
            </w:pPr>
            <w:r>
              <w:rPr>
                <w:rFonts w:ascii="宋体" w:hAnsi="宋体" w:cs="宋体"/>
                <w:color w:val="auto"/>
                <w:sz w:val="24"/>
                <w:szCs w:val="24"/>
                <w:highlight w:val="none"/>
              </w:rPr>
              <w:t>3.2.4</w:t>
            </w:r>
          </w:p>
        </w:tc>
        <w:tc>
          <w:tcPr>
            <w:tcW w:w="3375" w:type="dxa"/>
            <w:vAlign w:val="center"/>
          </w:tcPr>
          <w:p w14:paraId="6716C99B">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报价的其他要求</w:t>
            </w:r>
          </w:p>
        </w:tc>
        <w:tc>
          <w:tcPr>
            <w:tcW w:w="5506" w:type="dxa"/>
            <w:vAlign w:val="center"/>
          </w:tcPr>
          <w:p w14:paraId="7723DBB9">
            <w:pPr>
              <w:spacing w:line="360" w:lineRule="auto"/>
              <w:rPr>
                <w:rFonts w:ascii="宋体" w:cs="Times New Roman"/>
                <w:color w:val="auto"/>
                <w:sz w:val="24"/>
                <w:szCs w:val="24"/>
                <w:highlight w:val="none"/>
              </w:rPr>
            </w:pPr>
            <w:bookmarkStart w:id="32" w:name="EB49cf316adebb4c37ad70b2d21f8e5cd3"/>
            <w:r>
              <w:rPr>
                <w:rFonts w:hint="eastAsia" w:ascii="宋体" w:hAnsi="宋体" w:cs="宋体"/>
                <w:color w:val="auto"/>
                <w:sz w:val="24"/>
                <w:szCs w:val="24"/>
                <w:highlight w:val="none"/>
              </w:rPr>
              <w:t>投标人的投标价格应是服务期内，单位按合同规定的范围所提供的全部服务所需的费用。</w:t>
            </w:r>
            <w:bookmarkEnd w:id="32"/>
          </w:p>
          <w:p w14:paraId="4A611599">
            <w:pPr>
              <w:spacing w:line="360" w:lineRule="auto"/>
              <w:rPr>
                <w:rFonts w:hint="eastAsia" w:ascii="宋体" w:eastAsia="宋体" w:cs="Times New Roman"/>
                <w:color w:val="auto"/>
                <w:highlight w:val="none"/>
                <w:lang w:eastAsia="zh-CN"/>
              </w:rPr>
            </w:pPr>
            <w:r>
              <w:rPr>
                <w:rFonts w:hint="eastAsia" w:ascii="宋体" w:hAnsi="宋体" w:cs="宋体"/>
                <w:color w:val="auto"/>
                <w:sz w:val="24"/>
                <w:szCs w:val="24"/>
                <w:highlight w:val="none"/>
              </w:rPr>
              <w:t>投标报价包括：</w:t>
            </w:r>
            <w:r>
              <w:rPr>
                <w:rFonts w:hint="eastAsia" w:ascii="宋体" w:hAnsi="宋体" w:cs="宋体"/>
                <w:color w:val="auto"/>
                <w:sz w:val="24"/>
                <w:szCs w:val="24"/>
                <w:highlight w:val="none"/>
                <w:lang w:val="en-US" w:eastAsia="zh-CN"/>
              </w:rPr>
              <w:t>/</w:t>
            </w:r>
          </w:p>
        </w:tc>
      </w:tr>
      <w:tr w14:paraId="40F6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6" w:type="dxa"/>
            <w:vAlign w:val="center"/>
          </w:tcPr>
          <w:p w14:paraId="36DC3CE3">
            <w:pPr>
              <w:spacing w:line="360" w:lineRule="auto"/>
              <w:jc w:val="center"/>
              <w:rPr>
                <w:rFonts w:ascii="宋体" w:cs="Times New Roman"/>
                <w:color w:val="auto"/>
                <w:sz w:val="24"/>
                <w:szCs w:val="24"/>
                <w:highlight w:val="none"/>
              </w:rPr>
            </w:pPr>
            <w:r>
              <w:rPr>
                <w:rFonts w:ascii="宋体" w:hAnsi="宋体" w:cs="宋体"/>
                <w:color w:val="auto"/>
                <w:sz w:val="24"/>
                <w:szCs w:val="24"/>
                <w:highlight w:val="none"/>
              </w:rPr>
              <w:t>3.3.1</w:t>
            </w:r>
          </w:p>
        </w:tc>
        <w:tc>
          <w:tcPr>
            <w:tcW w:w="3375" w:type="dxa"/>
            <w:vAlign w:val="center"/>
          </w:tcPr>
          <w:p w14:paraId="0863436F">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响应文件有效期</w:t>
            </w:r>
          </w:p>
        </w:tc>
        <w:tc>
          <w:tcPr>
            <w:tcW w:w="5506" w:type="dxa"/>
            <w:vAlign w:val="center"/>
          </w:tcPr>
          <w:p w14:paraId="58C93789">
            <w:pPr>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t>本次询比有效期为自询比之日起</w:t>
            </w:r>
            <w:r>
              <w:rPr>
                <w:rFonts w:ascii="宋体" w:hAnsi="宋体" w:cs="宋体"/>
                <w:color w:val="auto"/>
                <w:sz w:val="24"/>
                <w:szCs w:val="24"/>
                <w:highlight w:val="none"/>
              </w:rPr>
              <w:t>90</w:t>
            </w:r>
            <w:r>
              <w:rPr>
                <w:rFonts w:hint="eastAsia" w:ascii="宋体" w:hAnsi="宋体" w:cs="宋体"/>
                <w:color w:val="auto"/>
                <w:sz w:val="24"/>
                <w:szCs w:val="24"/>
                <w:highlight w:val="none"/>
              </w:rPr>
              <w:t>个日历日</w:t>
            </w:r>
          </w:p>
        </w:tc>
      </w:tr>
      <w:tr w14:paraId="296E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6" w:type="dxa"/>
            <w:vAlign w:val="center"/>
          </w:tcPr>
          <w:p w14:paraId="72DED6CB">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3.4.1</w:t>
            </w:r>
          </w:p>
        </w:tc>
        <w:tc>
          <w:tcPr>
            <w:tcW w:w="3375" w:type="dxa"/>
            <w:vAlign w:val="center"/>
          </w:tcPr>
          <w:p w14:paraId="61B1651E">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响应保证金</w:t>
            </w:r>
          </w:p>
        </w:tc>
        <w:tc>
          <w:tcPr>
            <w:tcW w:w="5506" w:type="dxa"/>
            <w:vAlign w:val="center"/>
          </w:tcPr>
          <w:p w14:paraId="1068414F">
            <w:pPr>
              <w:pStyle w:val="18"/>
              <w:widowControl/>
              <w:spacing w:beforeAutospacing="0" w:afterAutospacing="0" w:line="360" w:lineRule="auto"/>
              <w:jc w:val="both"/>
              <w:rPr>
                <w:rFonts w:ascii="宋体" w:cs="Times New Roman"/>
                <w:color w:val="auto"/>
                <w:highlight w:val="none"/>
              </w:rPr>
            </w:pPr>
            <w:r>
              <w:rPr>
                <w:rFonts w:hint="eastAsia" w:ascii="宋体" w:hAnsi="Wingdings" w:cs="Times New Roman"/>
                <w:color w:val="auto"/>
                <w:highlight w:val="none"/>
              </w:rPr>
              <w:sym w:font="Wingdings" w:char="00A8"/>
            </w:r>
            <w:r>
              <w:rPr>
                <w:rFonts w:hint="eastAsia" w:ascii="宋体" w:hAnsi="宋体" w:cs="宋体"/>
                <w:color w:val="auto"/>
                <w:highlight w:val="none"/>
              </w:rPr>
              <w:t>不要求递交</w:t>
            </w:r>
          </w:p>
          <w:p w14:paraId="7A1917A2">
            <w:pPr>
              <w:pStyle w:val="18"/>
              <w:widowControl/>
              <w:spacing w:beforeAutospacing="0" w:afterAutospacing="0" w:line="360" w:lineRule="auto"/>
              <w:jc w:val="both"/>
              <w:rPr>
                <w:rFonts w:ascii="宋体" w:cs="Times New Roman"/>
                <w:color w:val="auto"/>
                <w:highlight w:val="none"/>
              </w:rPr>
            </w:pPr>
            <w:r>
              <w:rPr>
                <w:rFonts w:hint="eastAsia" w:ascii="宋体" w:hAnsi="Wingdings" w:cs="Times New Roman"/>
                <w:color w:val="auto"/>
                <w:highlight w:val="none"/>
              </w:rPr>
              <w:sym w:font="Wingdings" w:char="00FE"/>
            </w:r>
            <w:r>
              <w:rPr>
                <w:rFonts w:hint="eastAsia" w:ascii="宋体" w:hAnsi="宋体" w:cs="宋体"/>
                <w:color w:val="auto"/>
                <w:highlight w:val="none"/>
              </w:rPr>
              <w:t>要求递交</w:t>
            </w:r>
          </w:p>
          <w:p w14:paraId="5F146EE7">
            <w:pPr>
              <w:pStyle w:val="18"/>
              <w:widowControl/>
              <w:spacing w:beforeAutospacing="0" w:afterAutospacing="0" w:line="360" w:lineRule="auto"/>
              <w:jc w:val="both"/>
              <w:rPr>
                <w:rFonts w:hint="eastAsia" w:ascii="宋体" w:hAnsi="宋体" w:cs="宋体"/>
                <w:color w:val="auto"/>
                <w:highlight w:val="none"/>
              </w:rPr>
            </w:pPr>
            <w:r>
              <w:rPr>
                <w:rFonts w:hint="eastAsia" w:ascii="宋体" w:hAnsi="宋体" w:cs="宋体"/>
                <w:color w:val="auto"/>
                <w:highlight w:val="none"/>
              </w:rPr>
              <w:t>保证金的金额：</w:t>
            </w:r>
          </w:p>
          <w:p w14:paraId="32AAAE1A">
            <w:pPr>
              <w:pStyle w:val="18"/>
              <w:widowControl/>
              <w:spacing w:beforeAutospacing="0" w:afterAutospacing="0" w:line="360" w:lineRule="auto"/>
              <w:jc w:val="both"/>
              <w:rPr>
                <w:rFonts w:hint="default" w:ascii="宋体" w:eastAsia="宋体" w:cs="Times New Roman"/>
                <w:b/>
                <w:bCs/>
                <w:color w:val="auto"/>
                <w:highlight w:val="none"/>
                <w:lang w:val="en-US" w:eastAsia="zh-CN"/>
              </w:rPr>
            </w:pPr>
            <w:r>
              <w:rPr>
                <w:rFonts w:hint="eastAsia" w:ascii="宋体" w:hAnsi="宋体" w:cs="宋体"/>
                <w:b/>
                <w:bCs/>
                <w:color w:val="auto"/>
                <w:highlight w:val="none"/>
                <w:lang w:val="en-US" w:eastAsia="zh-CN"/>
              </w:rPr>
              <w:t>大写：壹万元整；小写：10000.00元</w:t>
            </w:r>
          </w:p>
          <w:p w14:paraId="11F8402E">
            <w:pPr>
              <w:pStyle w:val="18"/>
              <w:widowControl/>
              <w:spacing w:beforeAutospacing="0" w:afterAutospacing="0" w:line="360" w:lineRule="auto"/>
              <w:jc w:val="both"/>
              <w:rPr>
                <w:rFonts w:ascii="宋体" w:cs="Times New Roman"/>
                <w:color w:val="auto"/>
                <w:highlight w:val="none"/>
              </w:rPr>
            </w:pPr>
            <w:r>
              <w:rPr>
                <w:rFonts w:hint="eastAsia" w:ascii="宋体" w:hAnsi="宋体" w:cs="宋体"/>
                <w:color w:val="auto"/>
                <w:highlight w:val="none"/>
              </w:rPr>
              <w:t>保证金的形式：</w:t>
            </w:r>
            <w:r>
              <w:rPr>
                <w:rFonts w:hint="eastAsia" w:ascii="宋体" w:hAnsi="宋体" w:cs="宋体"/>
                <w:color w:val="auto"/>
                <w:highlight w:val="none"/>
                <w:lang w:val="zh-CN"/>
              </w:rPr>
              <w:t>以支票、汇票、本票或者金融机构、担保机构出具的保函、</w:t>
            </w:r>
            <w:r>
              <w:rPr>
                <w:rFonts w:hint="eastAsia" w:ascii="宋体" w:hAnsi="宋体" w:cs="宋体"/>
                <w:color w:val="auto"/>
                <w:highlight w:val="none"/>
              </w:rPr>
              <w:t>保单</w:t>
            </w:r>
            <w:r>
              <w:rPr>
                <w:rFonts w:hint="eastAsia" w:ascii="宋体" w:hAnsi="宋体" w:cs="宋体"/>
                <w:color w:val="auto"/>
                <w:highlight w:val="none"/>
                <w:lang w:val="zh-CN"/>
              </w:rPr>
              <w:t>等非现金形式提交。</w:t>
            </w:r>
          </w:p>
          <w:p w14:paraId="6D9004D2">
            <w:pPr>
              <w:pStyle w:val="18"/>
              <w:widowControl/>
              <w:spacing w:beforeAutospacing="0" w:afterAutospacing="0" w:line="360" w:lineRule="auto"/>
              <w:rPr>
                <w:rFonts w:ascii="宋体" w:cs="Times New Roman"/>
                <w:color w:val="auto"/>
                <w:highlight w:val="none"/>
              </w:rPr>
            </w:pPr>
            <w:r>
              <w:rPr>
                <w:rFonts w:hint="eastAsia" w:ascii="宋体" w:hAnsi="宋体" w:cs="宋体"/>
                <w:color w:val="auto"/>
                <w:highlight w:val="none"/>
              </w:rPr>
              <w:t>询比响应人须在询比截止期前按以下要求交纳询比保证金（询比保证金</w:t>
            </w:r>
            <w:r>
              <w:rPr>
                <w:rFonts w:hint="eastAsia" w:ascii="宋体" w:hAnsi="宋体" w:cs="宋体"/>
                <w:color w:val="auto"/>
                <w:highlight w:val="none"/>
                <w:lang w:eastAsia="zh-CN"/>
              </w:rPr>
              <w:t>以转账形式递交的，应</w:t>
            </w:r>
            <w:r>
              <w:rPr>
                <w:rFonts w:hint="eastAsia" w:ascii="宋体" w:hAnsi="宋体" w:cs="宋体"/>
                <w:color w:val="auto"/>
                <w:highlight w:val="none"/>
              </w:rPr>
              <w:t>从其基本账户汇出，询比响应文件中须附企业基本账户开户许可证或基本账户开户信息并</w:t>
            </w:r>
            <w:r>
              <w:rPr>
                <w:rFonts w:hint="eastAsia" w:ascii="宋体" w:hAnsi="宋体" w:cs="宋体"/>
                <w:color w:val="auto"/>
                <w:highlight w:val="none"/>
                <w:lang w:val="zh-CN"/>
              </w:rPr>
              <w:t>加盖投标单位公章</w:t>
            </w:r>
            <w:r>
              <w:rPr>
                <w:rFonts w:hint="eastAsia" w:ascii="宋体" w:hAnsi="宋体" w:cs="宋体"/>
                <w:color w:val="auto"/>
                <w:highlight w:val="none"/>
              </w:rPr>
              <w:t>）</w:t>
            </w:r>
          </w:p>
          <w:p w14:paraId="2598405A">
            <w:pPr>
              <w:pStyle w:val="18"/>
              <w:widowControl/>
              <w:spacing w:beforeAutospacing="0" w:afterAutospacing="0" w:line="360" w:lineRule="auto"/>
              <w:rPr>
                <w:rFonts w:ascii="宋体" w:cs="Times New Roman"/>
                <w:color w:val="auto"/>
                <w:highlight w:val="none"/>
              </w:rPr>
            </w:pPr>
            <w:r>
              <w:rPr>
                <w:rFonts w:hint="eastAsia" w:ascii="宋体" w:hAnsi="宋体" w:cs="宋体"/>
                <w:color w:val="auto"/>
                <w:highlight w:val="none"/>
              </w:rPr>
              <w:t>缴纳询比保证金时须注明此次项目编号及项目名称（可简写）</w:t>
            </w:r>
          </w:p>
          <w:p w14:paraId="423EF0D6">
            <w:pPr>
              <w:pStyle w:val="18"/>
              <w:widowControl/>
              <w:spacing w:beforeAutospacing="0" w:afterAutospacing="0" w:line="360" w:lineRule="auto"/>
              <w:rPr>
                <w:rFonts w:ascii="宋体" w:cs="Times New Roman"/>
                <w:b/>
                <w:bCs/>
                <w:color w:val="auto"/>
                <w:highlight w:val="none"/>
              </w:rPr>
            </w:pPr>
            <w:r>
              <w:rPr>
                <w:rFonts w:hint="eastAsia" w:ascii="宋体" w:hAnsi="宋体" w:cs="宋体"/>
                <w:b/>
                <w:bCs/>
                <w:color w:val="auto"/>
                <w:highlight w:val="none"/>
              </w:rPr>
              <w:t>交纳时间：</w:t>
            </w:r>
            <w:r>
              <w:rPr>
                <w:rFonts w:hint="eastAsia" w:ascii="宋体" w:hAnsi="宋体" w:cs="宋体"/>
                <w:b/>
                <w:bCs/>
                <w:color w:val="auto"/>
                <w:highlight w:val="none"/>
                <w:u w:val="single"/>
              </w:rPr>
              <w:t>至规定的投标文件递交截止时间前</w:t>
            </w:r>
          </w:p>
          <w:p w14:paraId="0C8F8FED">
            <w:pPr>
              <w:pStyle w:val="18"/>
              <w:widowControl/>
              <w:spacing w:beforeAutospacing="0" w:afterAutospacing="0" w:line="360" w:lineRule="auto"/>
              <w:rPr>
                <w:rFonts w:ascii="宋体" w:cs="Times New Roman"/>
                <w:b/>
                <w:bCs/>
                <w:color w:val="auto"/>
                <w:highlight w:val="none"/>
              </w:rPr>
            </w:pPr>
            <w:r>
              <w:rPr>
                <w:rFonts w:hint="eastAsia" w:ascii="宋体" w:hAnsi="宋体" w:cs="宋体"/>
                <w:b/>
                <w:bCs/>
                <w:color w:val="auto"/>
                <w:highlight w:val="none"/>
              </w:rPr>
              <w:t>账户名：上海容基工程项目管理有限公司青海分公司</w:t>
            </w:r>
          </w:p>
          <w:p w14:paraId="4F021B27">
            <w:pPr>
              <w:pStyle w:val="18"/>
              <w:widowControl/>
              <w:spacing w:beforeAutospacing="0" w:afterAutospacing="0" w:line="360" w:lineRule="auto"/>
              <w:rPr>
                <w:rFonts w:ascii="宋体" w:cs="Times New Roman"/>
                <w:b/>
                <w:bCs/>
                <w:color w:val="auto"/>
                <w:highlight w:val="none"/>
              </w:rPr>
            </w:pPr>
            <w:r>
              <w:rPr>
                <w:rFonts w:hint="eastAsia" w:ascii="宋体" w:hAnsi="宋体" w:cs="宋体"/>
                <w:b/>
                <w:bCs/>
                <w:color w:val="auto"/>
                <w:highlight w:val="none"/>
              </w:rPr>
              <w:t>开户行：中国农业银行股份有限公司西宁分行</w:t>
            </w:r>
          </w:p>
          <w:p w14:paraId="1D80AB7D">
            <w:pPr>
              <w:pStyle w:val="18"/>
              <w:widowControl/>
              <w:spacing w:beforeAutospacing="0" w:afterAutospacing="0" w:line="360" w:lineRule="auto"/>
              <w:rPr>
                <w:rFonts w:ascii="宋体" w:cs="Times New Roman"/>
                <w:color w:val="auto"/>
                <w:highlight w:val="none"/>
              </w:rPr>
            </w:pPr>
            <w:r>
              <w:rPr>
                <w:rFonts w:hint="eastAsia" w:ascii="宋体" w:hAnsi="宋体" w:cs="宋体"/>
                <w:b/>
                <w:bCs/>
                <w:color w:val="auto"/>
                <w:highlight w:val="none"/>
              </w:rPr>
              <w:t>账</w:t>
            </w:r>
            <w:r>
              <w:rPr>
                <w:rFonts w:ascii="宋体" w:hAnsi="宋体" w:cs="宋体"/>
                <w:b/>
                <w:bCs/>
                <w:color w:val="auto"/>
                <w:highlight w:val="none"/>
              </w:rPr>
              <w:t xml:space="preserve"> </w:t>
            </w:r>
            <w:r>
              <w:rPr>
                <w:rFonts w:hint="eastAsia" w:ascii="宋体" w:hAnsi="宋体" w:cs="宋体"/>
                <w:b/>
                <w:bCs/>
                <w:color w:val="auto"/>
                <w:highlight w:val="none"/>
              </w:rPr>
              <w:t>号：</w:t>
            </w:r>
            <w:r>
              <w:rPr>
                <w:rFonts w:ascii="宋体" w:hAnsi="宋体" w:cs="宋体"/>
                <w:b/>
                <w:bCs/>
                <w:color w:val="auto"/>
                <w:highlight w:val="none"/>
              </w:rPr>
              <w:t>28001001040023902</w:t>
            </w:r>
          </w:p>
        </w:tc>
      </w:tr>
      <w:tr w14:paraId="6D00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6" w:type="dxa"/>
            <w:vAlign w:val="center"/>
          </w:tcPr>
          <w:p w14:paraId="3D175163">
            <w:pPr>
              <w:spacing w:line="360" w:lineRule="auto"/>
              <w:jc w:val="center"/>
              <w:rPr>
                <w:rFonts w:ascii="宋体" w:cs="Times New Roman"/>
                <w:color w:val="auto"/>
                <w:sz w:val="24"/>
                <w:szCs w:val="24"/>
                <w:highlight w:val="none"/>
              </w:rPr>
            </w:pPr>
            <w:r>
              <w:rPr>
                <w:rFonts w:ascii="宋体" w:hAnsi="宋体" w:cs="宋体"/>
                <w:color w:val="auto"/>
                <w:sz w:val="24"/>
                <w:szCs w:val="24"/>
                <w:highlight w:val="none"/>
              </w:rPr>
              <w:t>3.4.2</w:t>
            </w:r>
          </w:p>
        </w:tc>
        <w:tc>
          <w:tcPr>
            <w:tcW w:w="3375" w:type="dxa"/>
            <w:vAlign w:val="center"/>
          </w:tcPr>
          <w:p w14:paraId="7796B7FE">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退还响应保证金的时间</w:t>
            </w:r>
          </w:p>
        </w:tc>
        <w:tc>
          <w:tcPr>
            <w:tcW w:w="5506" w:type="dxa"/>
            <w:vAlign w:val="center"/>
          </w:tcPr>
          <w:p w14:paraId="6D25FAAE">
            <w:pPr>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t>未成交询比响应人的询比保证金自成交通知书发出之日起</w:t>
            </w:r>
            <w:r>
              <w:rPr>
                <w:rFonts w:ascii="宋体" w:hAnsi="宋体" w:cs="宋体"/>
                <w:color w:val="auto"/>
                <w:sz w:val="24"/>
                <w:szCs w:val="24"/>
                <w:highlight w:val="none"/>
              </w:rPr>
              <w:t>5</w:t>
            </w:r>
            <w:r>
              <w:rPr>
                <w:rFonts w:hint="eastAsia" w:ascii="宋体" w:hAnsi="宋体" w:cs="宋体"/>
                <w:color w:val="auto"/>
                <w:sz w:val="24"/>
                <w:szCs w:val="24"/>
                <w:highlight w:val="none"/>
              </w:rPr>
              <w:t>个日历日内退还（不退现金）；成交单位的询比保证金，自合同签订之日起</w:t>
            </w:r>
            <w:r>
              <w:rPr>
                <w:rFonts w:ascii="宋体" w:hAnsi="宋体" w:cs="宋体"/>
                <w:color w:val="auto"/>
                <w:sz w:val="24"/>
                <w:szCs w:val="24"/>
                <w:highlight w:val="none"/>
              </w:rPr>
              <w:t>5</w:t>
            </w:r>
            <w:r>
              <w:rPr>
                <w:rFonts w:hint="eastAsia" w:ascii="宋体" w:hAnsi="宋体" w:cs="宋体"/>
                <w:color w:val="auto"/>
                <w:sz w:val="24"/>
                <w:szCs w:val="24"/>
                <w:highlight w:val="none"/>
              </w:rPr>
              <w:t>个日历日内退还（不退现金）。</w:t>
            </w:r>
          </w:p>
        </w:tc>
      </w:tr>
      <w:tr w14:paraId="5BFC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6" w:type="dxa"/>
            <w:vAlign w:val="center"/>
          </w:tcPr>
          <w:p w14:paraId="2B49E49E">
            <w:pPr>
              <w:spacing w:line="360" w:lineRule="auto"/>
              <w:jc w:val="center"/>
              <w:rPr>
                <w:rFonts w:ascii="宋体" w:cs="Times New Roman"/>
                <w:color w:val="auto"/>
                <w:sz w:val="24"/>
                <w:szCs w:val="24"/>
                <w:highlight w:val="none"/>
              </w:rPr>
            </w:pPr>
            <w:r>
              <w:rPr>
                <w:rFonts w:ascii="宋体" w:hAnsi="宋体" w:cs="宋体"/>
                <w:color w:val="auto"/>
                <w:sz w:val="24"/>
                <w:szCs w:val="24"/>
                <w:highlight w:val="none"/>
              </w:rPr>
              <w:t>3.4.3(3)</w:t>
            </w:r>
          </w:p>
        </w:tc>
        <w:tc>
          <w:tcPr>
            <w:tcW w:w="3375" w:type="dxa"/>
            <w:vAlign w:val="center"/>
          </w:tcPr>
          <w:p w14:paraId="20D2464B">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不退还响应保证金的其他情形</w:t>
            </w:r>
          </w:p>
        </w:tc>
        <w:tc>
          <w:tcPr>
            <w:tcW w:w="5506" w:type="dxa"/>
            <w:vAlign w:val="center"/>
          </w:tcPr>
          <w:p w14:paraId="460FB39D">
            <w:pPr>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）询比响应人在规定的询比有效期内撤销或修改其响应文件；</w:t>
            </w:r>
          </w:p>
          <w:p w14:paraId="5F2E4319">
            <w:pPr>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）成交人在收到成交通知书后，无正当理由拒签合同协议书或未按询比采购文件规定提交履约担保。</w:t>
            </w:r>
          </w:p>
        </w:tc>
      </w:tr>
      <w:tr w14:paraId="56D5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6" w:type="dxa"/>
            <w:vAlign w:val="center"/>
          </w:tcPr>
          <w:p w14:paraId="71D8F4AC">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3.5(1)</w:t>
            </w:r>
          </w:p>
        </w:tc>
        <w:tc>
          <w:tcPr>
            <w:tcW w:w="3375" w:type="dxa"/>
            <w:vAlign w:val="center"/>
          </w:tcPr>
          <w:p w14:paraId="76899974">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依法设立的证明材料</w:t>
            </w:r>
          </w:p>
        </w:tc>
        <w:tc>
          <w:tcPr>
            <w:tcW w:w="5506" w:type="dxa"/>
            <w:vAlign w:val="center"/>
          </w:tcPr>
          <w:p w14:paraId="52BD0D1D">
            <w:pPr>
              <w:pStyle w:val="18"/>
              <w:widowControl/>
              <w:spacing w:beforeAutospacing="0" w:afterAutospacing="0" w:line="360" w:lineRule="auto"/>
              <w:jc w:val="both"/>
              <w:rPr>
                <w:rFonts w:ascii="宋体" w:cs="Times New Roman"/>
                <w:color w:val="auto"/>
                <w:highlight w:val="none"/>
              </w:rPr>
            </w:pPr>
            <w:r>
              <w:rPr>
                <w:rFonts w:hint="eastAsia" w:ascii="宋体" w:hAnsi="宋体" w:cs="宋体"/>
                <w:color w:val="auto"/>
                <w:highlight w:val="none"/>
              </w:rPr>
              <w:t>询比响应人应提供市场监管部门或其他行政机关颁发的可以合法开展业务的执照或证书复印件</w:t>
            </w:r>
          </w:p>
        </w:tc>
      </w:tr>
    </w:tbl>
    <w:p w14:paraId="2F07DB41">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续</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表</w:t>
      </w:r>
    </w:p>
    <w:tbl>
      <w:tblPr>
        <w:tblStyle w:val="20"/>
        <w:tblW w:w="10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3398"/>
        <w:gridCol w:w="5806"/>
      </w:tblGrid>
      <w:tr w14:paraId="3840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8" w:type="dxa"/>
            <w:vAlign w:val="center"/>
          </w:tcPr>
          <w:p w14:paraId="320A102E">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条款号</w:t>
            </w:r>
          </w:p>
        </w:tc>
        <w:tc>
          <w:tcPr>
            <w:tcW w:w="3398" w:type="dxa"/>
            <w:vAlign w:val="center"/>
          </w:tcPr>
          <w:p w14:paraId="1FE34338">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条</w:t>
            </w:r>
            <w:r>
              <w:rPr>
                <w:rFonts w:ascii="宋体" w:hAnsi="宋体" w:cs="宋体"/>
                <w:color w:val="auto"/>
                <w:highlight w:val="none"/>
              </w:rPr>
              <w:t xml:space="preserve"> </w:t>
            </w:r>
            <w:r>
              <w:rPr>
                <w:rFonts w:hint="eastAsia" w:ascii="宋体" w:hAnsi="宋体" w:cs="宋体"/>
                <w:color w:val="auto"/>
                <w:highlight w:val="none"/>
              </w:rPr>
              <w:t>款</w:t>
            </w:r>
            <w:r>
              <w:rPr>
                <w:rFonts w:ascii="宋体" w:hAnsi="宋体" w:cs="宋体"/>
                <w:color w:val="auto"/>
                <w:highlight w:val="none"/>
              </w:rPr>
              <w:t xml:space="preserve"> </w:t>
            </w:r>
            <w:r>
              <w:rPr>
                <w:rFonts w:hint="eastAsia" w:ascii="宋体" w:hAnsi="宋体" w:cs="宋体"/>
                <w:color w:val="auto"/>
                <w:highlight w:val="none"/>
              </w:rPr>
              <w:t>内</w:t>
            </w:r>
            <w:r>
              <w:rPr>
                <w:rFonts w:ascii="宋体" w:hAnsi="宋体" w:cs="宋体"/>
                <w:color w:val="auto"/>
                <w:highlight w:val="none"/>
              </w:rPr>
              <w:t xml:space="preserve"> </w:t>
            </w:r>
            <w:r>
              <w:rPr>
                <w:rFonts w:hint="eastAsia" w:ascii="宋体" w:hAnsi="宋体" w:cs="宋体"/>
                <w:color w:val="auto"/>
                <w:highlight w:val="none"/>
              </w:rPr>
              <w:t>容</w:t>
            </w:r>
          </w:p>
        </w:tc>
        <w:tc>
          <w:tcPr>
            <w:tcW w:w="5806" w:type="dxa"/>
            <w:vAlign w:val="center"/>
          </w:tcPr>
          <w:p w14:paraId="55B1058D">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编</w:t>
            </w:r>
            <w:r>
              <w:rPr>
                <w:rFonts w:ascii="宋体" w:hAnsi="宋体" w:cs="宋体"/>
                <w:color w:val="auto"/>
                <w:highlight w:val="none"/>
              </w:rPr>
              <w:t xml:space="preserve"> </w:t>
            </w:r>
            <w:r>
              <w:rPr>
                <w:rFonts w:hint="eastAsia" w:ascii="宋体" w:hAnsi="宋体" w:cs="宋体"/>
                <w:color w:val="auto"/>
                <w:highlight w:val="none"/>
              </w:rPr>
              <w:t>列</w:t>
            </w:r>
            <w:r>
              <w:rPr>
                <w:rFonts w:ascii="宋体" w:hAnsi="宋体" w:cs="宋体"/>
                <w:color w:val="auto"/>
                <w:highlight w:val="none"/>
              </w:rPr>
              <w:t xml:space="preserve"> </w:t>
            </w:r>
            <w:r>
              <w:rPr>
                <w:rFonts w:hint="eastAsia" w:ascii="宋体" w:hAnsi="宋体" w:cs="宋体"/>
                <w:color w:val="auto"/>
                <w:highlight w:val="none"/>
              </w:rPr>
              <w:t>内</w:t>
            </w:r>
            <w:r>
              <w:rPr>
                <w:rFonts w:ascii="宋体" w:hAnsi="宋体" w:cs="宋体"/>
                <w:color w:val="auto"/>
                <w:highlight w:val="none"/>
              </w:rPr>
              <w:t xml:space="preserve"> </w:t>
            </w:r>
            <w:r>
              <w:rPr>
                <w:rFonts w:hint="eastAsia" w:ascii="宋体" w:hAnsi="宋体" w:cs="宋体"/>
                <w:color w:val="auto"/>
                <w:highlight w:val="none"/>
              </w:rPr>
              <w:t>容</w:t>
            </w:r>
          </w:p>
        </w:tc>
      </w:tr>
      <w:tr w14:paraId="28FA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8" w:type="dxa"/>
            <w:vAlign w:val="center"/>
          </w:tcPr>
          <w:p w14:paraId="5D5A0617">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3.5(2)</w:t>
            </w:r>
          </w:p>
        </w:tc>
        <w:tc>
          <w:tcPr>
            <w:tcW w:w="3398" w:type="dxa"/>
            <w:vAlign w:val="center"/>
          </w:tcPr>
          <w:p w14:paraId="690C2DAB">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资质要求证明材料</w:t>
            </w:r>
          </w:p>
        </w:tc>
        <w:tc>
          <w:tcPr>
            <w:tcW w:w="5806" w:type="dxa"/>
            <w:vAlign w:val="center"/>
          </w:tcPr>
          <w:p w14:paraId="245D884C">
            <w:pPr>
              <w:pStyle w:val="18"/>
              <w:widowControl/>
              <w:spacing w:beforeAutospacing="0" w:afterAutospacing="0" w:line="360" w:lineRule="auto"/>
              <w:jc w:val="both"/>
              <w:rPr>
                <w:rFonts w:ascii="宋体" w:cs="Times New Roman"/>
                <w:color w:val="auto"/>
                <w:highlight w:val="none"/>
              </w:rPr>
            </w:pPr>
            <w:r>
              <w:rPr>
                <w:rFonts w:hint="eastAsia" w:ascii="宋体" w:hAnsi="Wingdings" w:cs="Times New Roman"/>
                <w:color w:val="auto"/>
                <w:highlight w:val="none"/>
              </w:rPr>
              <w:sym w:font="Wingdings" w:char="00A8"/>
            </w:r>
            <w:r>
              <w:rPr>
                <w:rFonts w:hint="eastAsia" w:ascii="宋体" w:hAnsi="宋体" w:cs="宋体"/>
                <w:color w:val="auto"/>
                <w:highlight w:val="none"/>
              </w:rPr>
              <w:t>不适用</w:t>
            </w:r>
          </w:p>
          <w:p w14:paraId="68E6CCDE">
            <w:pPr>
              <w:pStyle w:val="18"/>
              <w:widowControl/>
              <w:spacing w:beforeAutospacing="0" w:afterAutospacing="0" w:line="360" w:lineRule="auto"/>
              <w:jc w:val="both"/>
              <w:rPr>
                <w:rFonts w:ascii="宋体" w:cs="Times New Roman"/>
                <w:color w:val="auto"/>
                <w:highlight w:val="none"/>
              </w:rPr>
            </w:pPr>
            <w:r>
              <w:rPr>
                <w:rFonts w:hint="eastAsia" w:ascii="宋体" w:hAnsi="Wingdings" w:cs="Times New Roman"/>
                <w:color w:val="auto"/>
                <w:highlight w:val="none"/>
              </w:rPr>
              <w:sym w:font="Wingdings" w:char="00FE"/>
            </w:r>
            <w:r>
              <w:rPr>
                <w:rFonts w:hint="eastAsia" w:ascii="宋体" w:hAnsi="宋体" w:cs="宋体"/>
                <w:color w:val="auto"/>
                <w:highlight w:val="none"/>
              </w:rPr>
              <w:t>适用。询比响应人应提供相关资质证书副本的复印件，以证明询比响应人具有承担本项目要求的资质</w:t>
            </w:r>
          </w:p>
          <w:p w14:paraId="30053961">
            <w:pPr>
              <w:pStyle w:val="18"/>
              <w:widowControl/>
              <w:spacing w:beforeAutospacing="0" w:afterAutospacing="0" w:line="360" w:lineRule="auto"/>
              <w:ind w:firstLine="240" w:firstLineChars="100"/>
              <w:jc w:val="both"/>
              <w:rPr>
                <w:rFonts w:ascii="宋体" w:cs="Times New Roman"/>
                <w:color w:val="auto"/>
                <w:highlight w:val="none"/>
                <w:u w:val="single"/>
              </w:rPr>
            </w:pPr>
            <w:r>
              <w:rPr>
                <w:rFonts w:hint="eastAsia" w:ascii="宋体" w:hAnsi="宋体" w:cs="宋体"/>
                <w:color w:val="auto"/>
                <w:highlight w:val="none"/>
              </w:rPr>
              <w:t>资质证书包括∶</w:t>
            </w:r>
            <w:r>
              <w:rPr>
                <w:rFonts w:hint="eastAsia" w:ascii="宋体" w:hAnsi="宋体" w:cs="宋体"/>
                <w:color w:val="auto"/>
                <w:kern w:val="0"/>
                <w:sz w:val="24"/>
                <w:szCs w:val="24"/>
                <w:highlight w:val="none"/>
                <w:u w:val="single"/>
                <w:lang w:val="zh-CN"/>
              </w:rPr>
              <w:t>在中华人民共和国注册、具有独立法人资格并保持良好履约记录、有能力响应采购文件要求（提供合法有效的“三证合一”的工商营业执照）；</w:t>
            </w:r>
          </w:p>
          <w:p w14:paraId="70852ADA">
            <w:pPr>
              <w:pStyle w:val="18"/>
              <w:widowControl/>
              <w:spacing w:beforeAutospacing="0" w:afterAutospacing="0" w:line="360" w:lineRule="auto"/>
              <w:jc w:val="both"/>
              <w:rPr>
                <w:rFonts w:ascii="宋体" w:cs="Times New Roman"/>
                <w:color w:val="auto"/>
                <w:highlight w:val="none"/>
                <w:u w:val="single"/>
              </w:rPr>
            </w:pPr>
            <w:r>
              <w:rPr>
                <w:rFonts w:hint="eastAsia" w:ascii="宋体" w:hAnsi="宋体" w:cs="宋体"/>
                <w:color w:val="auto"/>
                <w:highlight w:val="none"/>
              </w:rPr>
              <w:t>（注∶此处应填写资质证书的名称、等级、专业、颁发机构等内容。）</w:t>
            </w:r>
          </w:p>
        </w:tc>
      </w:tr>
      <w:tr w14:paraId="460A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8" w:type="dxa"/>
            <w:vAlign w:val="center"/>
          </w:tcPr>
          <w:p w14:paraId="1A0F99B6">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3.5(3)</w:t>
            </w:r>
          </w:p>
        </w:tc>
        <w:tc>
          <w:tcPr>
            <w:tcW w:w="3398" w:type="dxa"/>
            <w:vAlign w:val="center"/>
          </w:tcPr>
          <w:p w14:paraId="033D1D43">
            <w:pPr>
              <w:widowControl/>
              <w:spacing w:line="400" w:lineRule="exact"/>
              <w:jc w:val="center"/>
              <w:rPr>
                <w:rFonts w:ascii="宋体" w:cs="Times New Roman"/>
                <w:color w:val="auto"/>
                <w:sz w:val="24"/>
                <w:szCs w:val="24"/>
                <w:highlight w:val="none"/>
              </w:rPr>
            </w:pPr>
            <w:r>
              <w:rPr>
                <w:rFonts w:hint="eastAsia" w:ascii="宋体" w:hAnsi="宋体" w:cs="宋体"/>
                <w:color w:val="auto"/>
                <w:sz w:val="24"/>
                <w:szCs w:val="24"/>
                <w:highlight w:val="none"/>
              </w:rPr>
              <w:t>财务要求证明材料</w:t>
            </w:r>
          </w:p>
        </w:tc>
        <w:tc>
          <w:tcPr>
            <w:tcW w:w="5806" w:type="dxa"/>
            <w:vAlign w:val="center"/>
          </w:tcPr>
          <w:p w14:paraId="65DE18D4">
            <w:pPr>
              <w:widowControl/>
              <w:spacing w:line="400" w:lineRule="exact"/>
              <w:rPr>
                <w:rFonts w:ascii="宋体" w:cs="Times New Roman"/>
                <w:color w:val="auto"/>
                <w:sz w:val="24"/>
                <w:szCs w:val="24"/>
                <w:highlight w:val="none"/>
              </w:rPr>
            </w:pPr>
            <w:r>
              <w:rPr>
                <w:rFonts w:hint="eastAsia" w:ascii="宋体" w:hAnsi="Wingdings" w:cs="Times New Roman"/>
                <w:color w:val="auto"/>
                <w:sz w:val="24"/>
                <w:szCs w:val="24"/>
                <w:highlight w:val="none"/>
              </w:rPr>
              <w:sym w:font="Wingdings" w:char="F0A8"/>
            </w:r>
            <w:r>
              <w:rPr>
                <w:rFonts w:hint="eastAsia" w:ascii="宋体" w:hAnsi="宋体" w:cs="宋体"/>
                <w:color w:val="auto"/>
                <w:sz w:val="24"/>
                <w:szCs w:val="24"/>
                <w:highlight w:val="none"/>
              </w:rPr>
              <w:t>不适用</w:t>
            </w:r>
          </w:p>
          <w:p w14:paraId="5619ACC8">
            <w:pPr>
              <w:widowControl/>
              <w:spacing w:line="400" w:lineRule="exact"/>
              <w:rPr>
                <w:rFonts w:ascii="宋体" w:cs="Times New Roman"/>
                <w:color w:val="auto"/>
                <w:sz w:val="24"/>
                <w:szCs w:val="24"/>
                <w:highlight w:val="none"/>
              </w:rPr>
            </w:pPr>
            <w:r>
              <w:rPr>
                <w:rFonts w:hint="eastAsia" w:ascii="宋体" w:hAnsi="Wingdings" w:cs="Times New Roman"/>
                <w:color w:val="auto"/>
                <w:sz w:val="24"/>
                <w:szCs w:val="24"/>
                <w:highlight w:val="none"/>
              </w:rPr>
              <w:sym w:font="Wingdings" w:char="F0FE"/>
            </w:r>
            <w:r>
              <w:rPr>
                <w:rFonts w:hint="eastAsia" w:ascii="宋体" w:hAnsi="宋体" w:cs="宋体"/>
                <w:color w:val="auto"/>
                <w:sz w:val="24"/>
                <w:szCs w:val="24"/>
                <w:highlight w:val="none"/>
              </w:rPr>
              <w:t>适用。供应商应提供经会计师事务所或审计机构审计</w:t>
            </w:r>
            <w:r>
              <w:rPr>
                <w:rFonts w:ascii="宋体" w:hAnsi="宋体" w:cs="宋体"/>
                <w:color w:val="auto"/>
                <w:sz w:val="24"/>
                <w:szCs w:val="24"/>
                <w:highlight w:val="none"/>
                <w:u w:val="single"/>
              </w:rPr>
              <w:t>2023</w:t>
            </w:r>
            <w:r>
              <w:rPr>
                <w:rFonts w:hint="eastAsia" w:ascii="宋体" w:hAnsi="宋体" w:cs="宋体"/>
                <w:color w:val="auto"/>
                <w:sz w:val="24"/>
                <w:szCs w:val="24"/>
                <w:highlight w:val="none"/>
                <w:u w:val="single"/>
              </w:rPr>
              <w:t>年度</w:t>
            </w:r>
            <w:r>
              <w:rPr>
                <w:rFonts w:hint="eastAsia" w:ascii="宋体" w:hAnsi="宋体" w:cs="宋体"/>
                <w:color w:val="auto"/>
                <w:sz w:val="24"/>
                <w:szCs w:val="24"/>
                <w:highlight w:val="none"/>
              </w:rPr>
              <w:t>的财务会计报表复印件；没有经审计的财务报告，可以提供基本开户银行近三个月内银行出具的资信证明</w:t>
            </w:r>
          </w:p>
          <w:p w14:paraId="25EFD1CF">
            <w:pPr>
              <w:widowControl/>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近年财务会计报表年份是指∶</w:t>
            </w:r>
            <w:r>
              <w:rPr>
                <w:rFonts w:ascii="宋体" w:hAnsi="宋体" w:cs="宋体"/>
                <w:color w:val="auto"/>
                <w:sz w:val="24"/>
                <w:szCs w:val="24"/>
                <w:highlight w:val="none"/>
              </w:rPr>
              <w:t>2023</w:t>
            </w:r>
            <w:r>
              <w:rPr>
                <w:rFonts w:hint="eastAsia" w:ascii="宋体" w:hAnsi="宋体" w:cs="宋体"/>
                <w:color w:val="auto"/>
                <w:sz w:val="24"/>
                <w:szCs w:val="24"/>
                <w:highlight w:val="none"/>
              </w:rPr>
              <w:t>年度；</w:t>
            </w:r>
          </w:p>
        </w:tc>
      </w:tr>
      <w:tr w14:paraId="7C5D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8" w:type="dxa"/>
            <w:vAlign w:val="center"/>
          </w:tcPr>
          <w:p w14:paraId="7EA78150">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3.5(4)</w:t>
            </w:r>
          </w:p>
        </w:tc>
        <w:tc>
          <w:tcPr>
            <w:tcW w:w="3398" w:type="dxa"/>
            <w:vAlign w:val="center"/>
          </w:tcPr>
          <w:p w14:paraId="59917500">
            <w:pPr>
              <w:widowControl/>
              <w:spacing w:line="400" w:lineRule="exact"/>
              <w:jc w:val="center"/>
              <w:rPr>
                <w:rFonts w:ascii="宋体" w:cs="Times New Roman"/>
                <w:color w:val="auto"/>
                <w:sz w:val="24"/>
                <w:szCs w:val="24"/>
                <w:highlight w:val="none"/>
              </w:rPr>
            </w:pPr>
            <w:r>
              <w:rPr>
                <w:rFonts w:hint="eastAsia" w:ascii="宋体" w:hAnsi="宋体" w:cs="宋体"/>
                <w:color w:val="auto"/>
                <w:sz w:val="24"/>
                <w:szCs w:val="24"/>
                <w:highlight w:val="none"/>
              </w:rPr>
              <w:t>业绩要求证明材料</w:t>
            </w:r>
          </w:p>
        </w:tc>
        <w:tc>
          <w:tcPr>
            <w:tcW w:w="5806" w:type="dxa"/>
            <w:vAlign w:val="center"/>
          </w:tcPr>
          <w:p w14:paraId="43480B3B">
            <w:pPr>
              <w:widowControl/>
              <w:spacing w:line="400" w:lineRule="exact"/>
              <w:rPr>
                <w:rFonts w:ascii="宋体" w:cs="Times New Roman"/>
                <w:color w:val="auto"/>
                <w:sz w:val="24"/>
                <w:szCs w:val="24"/>
                <w:highlight w:val="none"/>
              </w:rPr>
            </w:pPr>
            <w:r>
              <w:rPr>
                <w:rFonts w:hint="eastAsia" w:ascii="宋体" w:hAnsi="Wingdings" w:cs="Times New Roman"/>
                <w:color w:val="auto"/>
                <w:sz w:val="24"/>
                <w:szCs w:val="24"/>
                <w:highlight w:val="none"/>
              </w:rPr>
              <w:sym w:font="Wingdings" w:char="F0A8"/>
            </w:r>
            <w:r>
              <w:rPr>
                <w:rFonts w:hint="eastAsia" w:ascii="宋体" w:hAnsi="宋体" w:cs="宋体"/>
                <w:color w:val="auto"/>
                <w:sz w:val="24"/>
                <w:szCs w:val="24"/>
                <w:highlight w:val="none"/>
              </w:rPr>
              <w:t>不适用</w:t>
            </w:r>
          </w:p>
          <w:p w14:paraId="157A9F5C">
            <w:pPr>
              <w:widowControl/>
              <w:spacing w:line="400" w:lineRule="exact"/>
              <w:rPr>
                <w:rFonts w:ascii="宋体" w:cs="Times New Roman"/>
                <w:color w:val="auto"/>
                <w:sz w:val="24"/>
                <w:szCs w:val="24"/>
                <w:highlight w:val="none"/>
              </w:rPr>
            </w:pPr>
            <w:r>
              <w:rPr>
                <w:rFonts w:hint="eastAsia" w:ascii="宋体" w:hAnsi="Wingdings" w:cs="Times New Roman"/>
                <w:color w:val="auto"/>
                <w:sz w:val="24"/>
                <w:szCs w:val="24"/>
                <w:highlight w:val="none"/>
              </w:rPr>
              <w:sym w:font="Wingdings" w:char="F0FE"/>
            </w:r>
            <w:r>
              <w:rPr>
                <w:rFonts w:hint="eastAsia" w:ascii="宋体" w:hAnsi="宋体" w:cs="宋体"/>
                <w:color w:val="auto"/>
                <w:sz w:val="24"/>
                <w:szCs w:val="24"/>
                <w:highlight w:val="none"/>
              </w:rPr>
              <w:t>适用。供应商应提供近年的类似项目情况表（格式见第六章</w:t>
            </w:r>
            <w:r>
              <w:rPr>
                <w:rFonts w:ascii="宋体" w:hAnsi="宋体" w:cs="宋体"/>
                <w:color w:val="auto"/>
                <w:sz w:val="24"/>
                <w:szCs w:val="24"/>
                <w:highlight w:val="none"/>
              </w:rPr>
              <w:t>"</w:t>
            </w:r>
            <w:r>
              <w:rPr>
                <w:rFonts w:hint="eastAsia" w:ascii="宋体" w:hAnsi="宋体" w:cs="宋体"/>
                <w:color w:val="auto"/>
                <w:sz w:val="24"/>
                <w:szCs w:val="24"/>
                <w:highlight w:val="none"/>
              </w:rPr>
              <w:t>响应文件格式</w:t>
            </w:r>
            <w:r>
              <w:rPr>
                <w:rFonts w:ascii="宋体" w:hAnsi="宋体" w:cs="宋体"/>
                <w:color w:val="auto"/>
                <w:sz w:val="24"/>
                <w:szCs w:val="24"/>
                <w:highlight w:val="none"/>
              </w:rPr>
              <w:t>"</w:t>
            </w:r>
            <w:r>
              <w:rPr>
                <w:rFonts w:hint="eastAsia" w:ascii="宋体" w:hAnsi="宋体" w:cs="宋体"/>
                <w:color w:val="auto"/>
                <w:sz w:val="24"/>
                <w:szCs w:val="24"/>
                <w:highlight w:val="none"/>
              </w:rPr>
              <w:t>七、资格审查资料（三）近年的类似项目情况表），以证明供应商具有承担本项目要求的业绩。近年是指∶</w:t>
            </w:r>
            <w:r>
              <w:rPr>
                <w:rFonts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rPr>
              <w:t>日至</w:t>
            </w:r>
            <w:r>
              <w:rPr>
                <w:rFonts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rPr>
              <w:t>月</w:t>
            </w:r>
            <w:r>
              <w:rPr>
                <w:rFonts w:hint="eastAsia" w:ascii="宋体" w:hAnsi="宋体" w:cs="宋体"/>
                <w:i w:val="0"/>
                <w:iCs w:val="0"/>
                <w:color w:val="auto"/>
                <w:sz w:val="24"/>
                <w:szCs w:val="24"/>
                <w:highlight w:val="none"/>
                <w:u w:val="single"/>
                <w:lang w:val="en-US" w:eastAsia="zh-CN"/>
              </w:rPr>
              <w:t>20</w:t>
            </w:r>
            <w:r>
              <w:rPr>
                <w:rFonts w:hint="eastAsia" w:ascii="宋体" w:hAnsi="宋体" w:cs="宋体"/>
                <w:color w:val="auto"/>
                <w:sz w:val="24"/>
                <w:szCs w:val="24"/>
                <w:highlight w:val="none"/>
              </w:rPr>
              <w:t>日；</w:t>
            </w:r>
          </w:p>
          <w:p w14:paraId="5279797C">
            <w:pPr>
              <w:widowControl/>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业绩证明材料</w:t>
            </w:r>
          </w:p>
          <w:p w14:paraId="200B1A58">
            <w:pPr>
              <w:widowControl/>
              <w:spacing w:line="400" w:lineRule="exact"/>
              <w:rPr>
                <w:rFonts w:ascii="宋体" w:cs="Times New Roman"/>
                <w:color w:val="auto"/>
                <w:sz w:val="24"/>
                <w:szCs w:val="24"/>
                <w:highlight w:val="none"/>
              </w:rPr>
            </w:pPr>
            <w:r>
              <w:rPr>
                <w:rFonts w:hint="eastAsia" w:ascii="宋体" w:hAnsi="Wingdings" w:cs="Times New Roman"/>
                <w:color w:val="auto"/>
                <w:sz w:val="24"/>
                <w:szCs w:val="24"/>
                <w:highlight w:val="none"/>
              </w:rPr>
              <w:sym w:font="Wingdings" w:char="F0FE"/>
            </w:r>
            <w:r>
              <w:rPr>
                <w:rFonts w:hint="eastAsia" w:ascii="宋体" w:hAnsi="宋体" w:cs="宋体"/>
                <w:color w:val="auto"/>
                <w:sz w:val="24"/>
                <w:szCs w:val="24"/>
                <w:highlight w:val="none"/>
              </w:rPr>
              <w:t>合同协议书</w:t>
            </w:r>
          </w:p>
          <w:p w14:paraId="3C953C58">
            <w:pPr>
              <w:widowControl/>
              <w:spacing w:line="400" w:lineRule="exact"/>
              <w:rPr>
                <w:rFonts w:ascii="宋体" w:cs="Times New Roman"/>
                <w:color w:val="auto"/>
                <w:sz w:val="24"/>
                <w:szCs w:val="24"/>
                <w:highlight w:val="none"/>
              </w:rPr>
            </w:pPr>
            <w:r>
              <w:rPr>
                <w:rFonts w:hint="eastAsia" w:ascii="宋体" w:hAnsi="Wingdings" w:cs="Times New Roman"/>
                <w:color w:val="auto"/>
                <w:sz w:val="24"/>
                <w:szCs w:val="24"/>
                <w:highlight w:val="none"/>
              </w:rPr>
              <w:sym w:font="Wingdings" w:char="F0FE"/>
            </w:r>
            <w:r>
              <w:rPr>
                <w:rFonts w:hint="eastAsia" w:ascii="宋体" w:hAnsi="宋体" w:cs="宋体"/>
                <w:color w:val="auto"/>
                <w:sz w:val="24"/>
                <w:szCs w:val="24"/>
                <w:highlight w:val="none"/>
              </w:rPr>
              <w:t>中标通知书</w:t>
            </w:r>
            <w:r>
              <w:rPr>
                <w:rFonts w:ascii="宋体" w:hAnsi="宋体" w:cs="宋体"/>
                <w:color w:val="auto"/>
                <w:sz w:val="24"/>
                <w:szCs w:val="24"/>
                <w:highlight w:val="none"/>
              </w:rPr>
              <w:t>/</w:t>
            </w:r>
            <w:r>
              <w:rPr>
                <w:rFonts w:hint="eastAsia" w:ascii="宋体" w:hAnsi="宋体" w:cs="宋体"/>
                <w:color w:val="auto"/>
                <w:sz w:val="24"/>
                <w:szCs w:val="24"/>
                <w:highlight w:val="none"/>
              </w:rPr>
              <w:t>成交通知书</w:t>
            </w:r>
          </w:p>
          <w:p w14:paraId="1E6464BB">
            <w:pPr>
              <w:widowControl/>
              <w:spacing w:line="400" w:lineRule="exact"/>
              <w:rPr>
                <w:rFonts w:hint="default" w:ascii="宋体" w:cs="Times New Roman"/>
                <w:color w:val="auto"/>
                <w:sz w:val="24"/>
                <w:szCs w:val="24"/>
                <w:highlight w:val="none"/>
                <w:lang w:val="en-US" w:eastAsia="zh-CN"/>
              </w:rPr>
            </w:pPr>
            <w:r>
              <w:rPr>
                <w:rFonts w:hint="eastAsia" w:ascii="宋体" w:hAnsi="Wingdings" w:cs="Times New Roman"/>
                <w:color w:val="auto"/>
                <w:sz w:val="24"/>
                <w:szCs w:val="24"/>
                <w:highlight w:val="none"/>
              </w:rPr>
              <w:sym w:font="Wingdings" w:char="00A8"/>
            </w:r>
            <w:r>
              <w:rPr>
                <w:rFonts w:hint="eastAsia" w:ascii="宋体" w:hAnsi="宋体" w:cs="宋体"/>
                <w:color w:val="auto"/>
                <w:sz w:val="24"/>
                <w:szCs w:val="24"/>
                <w:highlight w:val="none"/>
              </w:rPr>
              <w:t>竣工验收报告</w:t>
            </w:r>
            <w:r>
              <w:rPr>
                <w:rFonts w:ascii="宋体" w:hAnsi="宋体" w:cs="宋体"/>
                <w:color w:val="auto"/>
                <w:sz w:val="24"/>
                <w:szCs w:val="24"/>
                <w:highlight w:val="none"/>
              </w:rPr>
              <w:t>/</w:t>
            </w:r>
            <w:r>
              <w:rPr>
                <w:rFonts w:hint="eastAsia" w:ascii="宋体" w:hAnsi="宋体" w:cs="宋体"/>
                <w:color w:val="auto"/>
                <w:sz w:val="24"/>
                <w:szCs w:val="24"/>
                <w:highlight w:val="none"/>
              </w:rPr>
              <w:t>验收证明</w:t>
            </w:r>
            <w:r>
              <w:rPr>
                <w:rFonts w:hint="eastAsia" w:ascii="宋体" w:cs="Times New Roman"/>
                <w:color w:val="auto"/>
                <w:sz w:val="24"/>
                <w:szCs w:val="24"/>
                <w:highlight w:val="none"/>
                <w:lang w:val="en-US" w:eastAsia="zh-CN"/>
              </w:rPr>
              <w:t>/可研批复</w:t>
            </w:r>
          </w:p>
          <w:p w14:paraId="5D7E0EA2">
            <w:pPr>
              <w:widowControl/>
              <w:spacing w:line="400" w:lineRule="exact"/>
              <w:rPr>
                <w:rFonts w:ascii="宋体" w:cs="Times New Roman"/>
                <w:color w:val="auto"/>
                <w:sz w:val="24"/>
                <w:szCs w:val="24"/>
                <w:highlight w:val="none"/>
              </w:rPr>
            </w:pPr>
            <w:r>
              <w:rPr>
                <w:rFonts w:hint="eastAsia" w:ascii="宋体" w:hAnsi="Wingdings 2" w:cs="Times New Roman"/>
                <w:color w:val="auto"/>
                <w:sz w:val="24"/>
                <w:szCs w:val="24"/>
                <w:highlight w:val="none"/>
              </w:rPr>
              <w:sym w:font="Wingdings" w:char="00A8"/>
            </w:r>
            <w:r>
              <w:rPr>
                <w:rFonts w:hint="eastAsia" w:ascii="宋体" w:hAnsi="宋体" w:cs="宋体"/>
                <w:color w:val="auto"/>
                <w:sz w:val="24"/>
                <w:szCs w:val="24"/>
                <w:highlight w:val="none"/>
              </w:rPr>
              <w:t>业主证明</w:t>
            </w:r>
          </w:p>
          <w:p w14:paraId="1B14EA48">
            <w:pPr>
              <w:widowControl/>
              <w:spacing w:line="400" w:lineRule="exact"/>
              <w:rPr>
                <w:rFonts w:ascii="宋体" w:cs="Times New Roman"/>
                <w:color w:val="auto"/>
                <w:sz w:val="24"/>
                <w:szCs w:val="24"/>
                <w:highlight w:val="none"/>
              </w:rPr>
            </w:pPr>
            <w:r>
              <w:rPr>
                <w:rFonts w:hint="eastAsia" w:ascii="宋体" w:hAnsi="Wingdings 2" w:cs="Times New Roman"/>
                <w:color w:val="auto"/>
                <w:sz w:val="24"/>
                <w:szCs w:val="24"/>
                <w:highlight w:val="none"/>
              </w:rPr>
              <w:sym w:font="Wingdings" w:char="00A8"/>
            </w:r>
            <w:r>
              <w:rPr>
                <w:rFonts w:hint="eastAsia" w:ascii="宋体" w:hAnsi="宋体" w:cs="宋体"/>
                <w:color w:val="auto"/>
                <w:sz w:val="24"/>
                <w:szCs w:val="24"/>
                <w:highlight w:val="none"/>
              </w:rPr>
              <w:t>其他材料∶</w:t>
            </w:r>
          </w:p>
          <w:p w14:paraId="7F98B969">
            <w:pPr>
              <w:widowControl/>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业绩证明材料种类要求∶</w:t>
            </w:r>
          </w:p>
          <w:p w14:paraId="4D910AA9">
            <w:pPr>
              <w:widowControl/>
              <w:spacing w:line="400" w:lineRule="exact"/>
              <w:rPr>
                <w:rFonts w:ascii="宋体" w:cs="Times New Roman"/>
                <w:color w:val="auto"/>
                <w:sz w:val="24"/>
                <w:szCs w:val="24"/>
                <w:highlight w:val="none"/>
              </w:rPr>
            </w:pPr>
            <w:r>
              <w:rPr>
                <w:rFonts w:hint="eastAsia" w:ascii="宋体" w:hAnsi="Wingdings" w:cs="Times New Roman"/>
                <w:color w:val="auto"/>
                <w:sz w:val="24"/>
                <w:szCs w:val="24"/>
                <w:highlight w:val="none"/>
              </w:rPr>
              <w:sym w:font="Wingdings" w:char="00FE"/>
            </w:r>
            <w:r>
              <w:rPr>
                <w:rFonts w:hint="eastAsia" w:ascii="宋体" w:hAnsi="宋体" w:cs="宋体"/>
                <w:color w:val="auto"/>
                <w:sz w:val="24"/>
                <w:szCs w:val="24"/>
                <w:highlight w:val="none"/>
              </w:rPr>
              <w:t>提供上述勾选的任一项证明材料即可</w:t>
            </w:r>
          </w:p>
          <w:p w14:paraId="3549F66C">
            <w:pPr>
              <w:widowControl/>
              <w:spacing w:line="400" w:lineRule="exact"/>
              <w:rPr>
                <w:rFonts w:ascii="宋体" w:cs="Times New Roman"/>
                <w:color w:val="auto"/>
                <w:sz w:val="24"/>
                <w:szCs w:val="24"/>
                <w:highlight w:val="none"/>
              </w:rPr>
            </w:pPr>
            <w:r>
              <w:rPr>
                <w:rFonts w:hint="eastAsia" w:ascii="宋体" w:hAnsi="Wingdings" w:cs="Times New Roman"/>
                <w:color w:val="auto"/>
                <w:sz w:val="24"/>
                <w:szCs w:val="24"/>
                <w:highlight w:val="none"/>
              </w:rPr>
              <w:sym w:font="Wingdings" w:char="00A8"/>
            </w:r>
            <w:r>
              <w:rPr>
                <w:rFonts w:hint="eastAsia" w:ascii="宋体" w:hAnsi="宋体" w:cs="宋体"/>
                <w:color w:val="auto"/>
                <w:sz w:val="24"/>
                <w:szCs w:val="24"/>
                <w:highlight w:val="none"/>
              </w:rPr>
              <w:t>需同时提供上述勾选的所有证明材料</w:t>
            </w:r>
          </w:p>
          <w:p w14:paraId="1DAFFDC5">
            <w:pPr>
              <w:widowControl/>
              <w:spacing w:line="400" w:lineRule="exact"/>
              <w:rPr>
                <w:rFonts w:ascii="宋体" w:cs="Times New Roman"/>
                <w:color w:val="auto"/>
                <w:sz w:val="24"/>
                <w:szCs w:val="24"/>
                <w:highlight w:val="none"/>
              </w:rPr>
            </w:pPr>
            <w:r>
              <w:rPr>
                <w:rFonts w:hint="eastAsia" w:ascii="宋体" w:hAnsi="Wingdings 2" w:cs="Times New Roman"/>
                <w:color w:val="auto"/>
                <w:sz w:val="24"/>
                <w:szCs w:val="24"/>
                <w:highlight w:val="none"/>
              </w:rPr>
              <w:sym w:font="Wingdings 2" w:char="F0A3"/>
            </w:r>
            <w:r>
              <w:rPr>
                <w:rFonts w:hint="eastAsia" w:ascii="宋体" w:hAnsi="宋体" w:cs="宋体"/>
                <w:color w:val="auto"/>
                <w:sz w:val="24"/>
                <w:szCs w:val="24"/>
                <w:highlight w:val="none"/>
              </w:rPr>
              <w:t>其他要求∶</w:t>
            </w:r>
            <w:r>
              <w:rPr>
                <w:rFonts w:ascii="宋体" w:hAnsi="宋体" w:cs="宋体"/>
                <w:color w:val="auto"/>
                <w:sz w:val="24"/>
                <w:szCs w:val="24"/>
                <w:highlight w:val="none"/>
              </w:rPr>
              <w:t>/</w:t>
            </w:r>
          </w:p>
        </w:tc>
      </w:tr>
    </w:tbl>
    <w:p w14:paraId="545D2C54">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续表</w:t>
      </w:r>
    </w:p>
    <w:tbl>
      <w:tblPr>
        <w:tblStyle w:val="20"/>
        <w:tblW w:w="10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3368"/>
        <w:gridCol w:w="5795"/>
      </w:tblGrid>
      <w:tr w14:paraId="0D22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31" w:type="dxa"/>
            <w:vAlign w:val="center"/>
          </w:tcPr>
          <w:p w14:paraId="46F4B711">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条款号</w:t>
            </w:r>
          </w:p>
        </w:tc>
        <w:tc>
          <w:tcPr>
            <w:tcW w:w="3368" w:type="dxa"/>
            <w:vAlign w:val="center"/>
          </w:tcPr>
          <w:p w14:paraId="7839DFC0">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条</w:t>
            </w:r>
            <w:r>
              <w:rPr>
                <w:rFonts w:ascii="宋体" w:hAnsi="宋体" w:cs="宋体"/>
                <w:color w:val="auto"/>
                <w:highlight w:val="none"/>
              </w:rPr>
              <w:t xml:space="preserve"> </w:t>
            </w:r>
            <w:r>
              <w:rPr>
                <w:rFonts w:hint="eastAsia" w:ascii="宋体" w:hAnsi="宋体" w:cs="宋体"/>
                <w:color w:val="auto"/>
                <w:highlight w:val="none"/>
              </w:rPr>
              <w:t>款</w:t>
            </w:r>
            <w:r>
              <w:rPr>
                <w:rFonts w:ascii="宋体" w:hAnsi="宋体" w:cs="宋体"/>
                <w:color w:val="auto"/>
                <w:highlight w:val="none"/>
              </w:rPr>
              <w:t xml:space="preserve"> </w:t>
            </w:r>
            <w:r>
              <w:rPr>
                <w:rFonts w:hint="eastAsia" w:ascii="宋体" w:hAnsi="宋体" w:cs="宋体"/>
                <w:color w:val="auto"/>
                <w:highlight w:val="none"/>
              </w:rPr>
              <w:t>内</w:t>
            </w:r>
            <w:r>
              <w:rPr>
                <w:rFonts w:ascii="宋体" w:hAnsi="宋体" w:cs="宋体"/>
                <w:color w:val="auto"/>
                <w:highlight w:val="none"/>
              </w:rPr>
              <w:t xml:space="preserve"> </w:t>
            </w:r>
            <w:r>
              <w:rPr>
                <w:rFonts w:hint="eastAsia" w:ascii="宋体" w:hAnsi="宋体" w:cs="宋体"/>
                <w:color w:val="auto"/>
                <w:highlight w:val="none"/>
              </w:rPr>
              <w:t>容</w:t>
            </w:r>
          </w:p>
        </w:tc>
        <w:tc>
          <w:tcPr>
            <w:tcW w:w="5795" w:type="dxa"/>
            <w:vAlign w:val="center"/>
          </w:tcPr>
          <w:p w14:paraId="4EF93839">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编</w:t>
            </w:r>
            <w:r>
              <w:rPr>
                <w:rFonts w:ascii="宋体" w:hAnsi="宋体" w:cs="宋体"/>
                <w:color w:val="auto"/>
                <w:highlight w:val="none"/>
              </w:rPr>
              <w:t xml:space="preserve"> </w:t>
            </w:r>
            <w:r>
              <w:rPr>
                <w:rFonts w:hint="eastAsia" w:ascii="宋体" w:hAnsi="宋体" w:cs="宋体"/>
                <w:color w:val="auto"/>
                <w:highlight w:val="none"/>
              </w:rPr>
              <w:t>列</w:t>
            </w:r>
            <w:r>
              <w:rPr>
                <w:rFonts w:ascii="宋体" w:hAnsi="宋体" w:cs="宋体"/>
                <w:color w:val="auto"/>
                <w:highlight w:val="none"/>
              </w:rPr>
              <w:t xml:space="preserve"> </w:t>
            </w:r>
            <w:r>
              <w:rPr>
                <w:rFonts w:hint="eastAsia" w:ascii="宋体" w:hAnsi="宋体" w:cs="宋体"/>
                <w:color w:val="auto"/>
                <w:highlight w:val="none"/>
              </w:rPr>
              <w:t>内</w:t>
            </w:r>
            <w:r>
              <w:rPr>
                <w:rFonts w:ascii="宋体" w:hAnsi="宋体" w:cs="宋体"/>
                <w:color w:val="auto"/>
                <w:highlight w:val="none"/>
              </w:rPr>
              <w:t xml:space="preserve"> </w:t>
            </w:r>
            <w:r>
              <w:rPr>
                <w:rFonts w:hint="eastAsia" w:ascii="宋体" w:hAnsi="宋体" w:cs="宋体"/>
                <w:color w:val="auto"/>
                <w:highlight w:val="none"/>
              </w:rPr>
              <w:t>容</w:t>
            </w:r>
          </w:p>
        </w:tc>
      </w:tr>
      <w:tr w14:paraId="5E1F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31" w:type="dxa"/>
            <w:vAlign w:val="center"/>
          </w:tcPr>
          <w:p w14:paraId="0FBEDB7B">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3.5(5)</w:t>
            </w:r>
          </w:p>
        </w:tc>
        <w:tc>
          <w:tcPr>
            <w:tcW w:w="3368" w:type="dxa"/>
            <w:vAlign w:val="center"/>
          </w:tcPr>
          <w:p w14:paraId="262E636D">
            <w:pPr>
              <w:widowControl/>
              <w:spacing w:line="400" w:lineRule="exact"/>
              <w:jc w:val="center"/>
              <w:rPr>
                <w:rFonts w:ascii="宋体" w:cs="Times New Roman"/>
                <w:color w:val="auto"/>
                <w:sz w:val="24"/>
                <w:szCs w:val="24"/>
                <w:highlight w:val="none"/>
              </w:rPr>
            </w:pPr>
            <w:r>
              <w:rPr>
                <w:rFonts w:hint="eastAsia" w:ascii="宋体" w:hAnsi="宋体" w:cs="宋体"/>
                <w:color w:val="auto"/>
                <w:sz w:val="24"/>
                <w:szCs w:val="24"/>
                <w:highlight w:val="none"/>
              </w:rPr>
              <w:t>信誉要求证明材料</w:t>
            </w:r>
          </w:p>
        </w:tc>
        <w:tc>
          <w:tcPr>
            <w:tcW w:w="5795" w:type="dxa"/>
            <w:vAlign w:val="center"/>
          </w:tcPr>
          <w:p w14:paraId="36260AC5">
            <w:pPr>
              <w:widowControl/>
              <w:spacing w:line="400" w:lineRule="exact"/>
              <w:rPr>
                <w:rFonts w:ascii="宋体" w:cs="Times New Roman"/>
                <w:color w:val="auto"/>
                <w:sz w:val="24"/>
                <w:szCs w:val="24"/>
                <w:highlight w:val="none"/>
              </w:rPr>
            </w:pPr>
            <w:r>
              <w:rPr>
                <w:rFonts w:hint="eastAsia" w:ascii="宋体" w:hAnsi="Wingdings 2" w:cs="Times New Roman"/>
                <w:color w:val="auto"/>
                <w:highlight w:val="none"/>
              </w:rPr>
              <w:sym w:font="Wingdings" w:char="00A8"/>
            </w:r>
            <w:r>
              <w:rPr>
                <w:rFonts w:hint="eastAsia" w:ascii="宋体" w:hAnsi="宋体" w:cs="宋体"/>
                <w:color w:val="auto"/>
                <w:sz w:val="24"/>
                <w:szCs w:val="24"/>
                <w:highlight w:val="none"/>
              </w:rPr>
              <w:t>不适用</w:t>
            </w:r>
          </w:p>
          <w:p w14:paraId="7FA1BD6D">
            <w:pPr>
              <w:widowControl/>
              <w:spacing w:line="400" w:lineRule="exact"/>
              <w:jc w:val="left"/>
              <w:rPr>
                <w:rFonts w:hint="eastAsia" w:ascii="宋体" w:eastAsia="宋体" w:cs="Times New Roman"/>
                <w:color w:val="auto"/>
                <w:sz w:val="24"/>
                <w:szCs w:val="24"/>
                <w:highlight w:val="none"/>
                <w:lang w:val="en-US" w:eastAsia="zh-CN"/>
              </w:rPr>
            </w:pPr>
            <w:r>
              <w:rPr>
                <w:rFonts w:hint="eastAsia" w:ascii="宋体" w:hAnsi="Wingdings" w:cs="Times New Roman"/>
                <w:color w:val="auto"/>
                <w:sz w:val="24"/>
                <w:szCs w:val="24"/>
                <w:highlight w:val="none"/>
              </w:rPr>
              <w:sym w:font="Wingdings" w:char="00FE"/>
            </w:r>
            <w:r>
              <w:rPr>
                <w:rFonts w:hint="eastAsia" w:ascii="宋体" w:hAnsi="宋体" w:cs="宋体"/>
                <w:color w:val="auto"/>
                <w:sz w:val="24"/>
                <w:szCs w:val="24"/>
                <w:highlight w:val="none"/>
              </w:rPr>
              <w:t>适用。供应商应提供相关信誉情况的证明材料，包括∶</w:t>
            </w:r>
            <w:r>
              <w:rPr>
                <w:rFonts w:hint="eastAsia" w:ascii="宋体" w:hAnsi="宋体" w:eastAsia="宋体" w:cs="宋体"/>
                <w:color w:val="auto"/>
                <w:kern w:val="0"/>
                <w:sz w:val="24"/>
                <w:szCs w:val="24"/>
                <w:highlight w:val="none"/>
                <w:u w:val="single"/>
              </w:rPr>
              <w:t>经信用中国（www.creditchina.gov.cn）等渠道查询后，列入失信被执行人、重大税收违法案件当事人名单，取消投标资格。（提供“信用中国</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网站的查询截图</w:t>
            </w:r>
            <w:r>
              <w:rPr>
                <w:rFonts w:hint="eastAsia" w:ascii="宋体" w:hAnsi="宋体" w:eastAsia="宋体" w:cs="宋体"/>
                <w:color w:val="auto"/>
                <w:kern w:val="0"/>
                <w:sz w:val="24"/>
                <w:szCs w:val="24"/>
                <w:highlight w:val="none"/>
                <w:u w:val="single"/>
                <w:lang w:val="en-US" w:eastAsia="zh-CN"/>
              </w:rPr>
              <w:t>时间 为投标截止时间前 10 天内）</w:t>
            </w:r>
            <w:r>
              <w:rPr>
                <w:rFonts w:hint="eastAsia" w:ascii="宋体" w:hAnsi="宋体" w:eastAsia="宋体" w:cs="宋体"/>
                <w:color w:val="auto"/>
                <w:kern w:val="0"/>
                <w:sz w:val="24"/>
                <w:szCs w:val="24"/>
                <w:highlight w:val="none"/>
                <w:u w:val="none"/>
                <w:lang w:val="en-US" w:eastAsia="zh-CN"/>
              </w:rPr>
              <w:t>；</w:t>
            </w:r>
          </w:p>
        </w:tc>
      </w:tr>
      <w:tr w14:paraId="22CD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1131" w:type="dxa"/>
            <w:vAlign w:val="center"/>
          </w:tcPr>
          <w:p w14:paraId="26FAF25A">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3.5(6)</w:t>
            </w:r>
          </w:p>
        </w:tc>
        <w:tc>
          <w:tcPr>
            <w:tcW w:w="3368" w:type="dxa"/>
            <w:vAlign w:val="center"/>
          </w:tcPr>
          <w:p w14:paraId="335FE3C3">
            <w:pPr>
              <w:widowControl/>
              <w:spacing w:line="400" w:lineRule="exact"/>
              <w:jc w:val="center"/>
              <w:rPr>
                <w:rFonts w:ascii="宋体" w:cs="Times New Roman"/>
                <w:color w:val="auto"/>
                <w:sz w:val="24"/>
                <w:szCs w:val="24"/>
                <w:highlight w:val="none"/>
              </w:rPr>
            </w:pPr>
            <w:r>
              <w:rPr>
                <w:rFonts w:hint="eastAsia" w:ascii="宋体" w:hAnsi="宋体" w:cs="宋体"/>
                <w:color w:val="auto"/>
                <w:sz w:val="24"/>
                <w:szCs w:val="24"/>
                <w:highlight w:val="none"/>
              </w:rPr>
              <w:t>承担本项目的主要人员要求证明材料</w:t>
            </w:r>
          </w:p>
        </w:tc>
        <w:tc>
          <w:tcPr>
            <w:tcW w:w="5795" w:type="dxa"/>
            <w:vAlign w:val="center"/>
          </w:tcPr>
          <w:p w14:paraId="23F09E6D">
            <w:pPr>
              <w:widowControl/>
              <w:spacing w:line="400" w:lineRule="exact"/>
              <w:rPr>
                <w:rFonts w:ascii="宋体" w:cs="Times New Roman"/>
                <w:color w:val="auto"/>
                <w:sz w:val="24"/>
                <w:szCs w:val="24"/>
                <w:highlight w:val="none"/>
              </w:rPr>
            </w:pPr>
            <w:r>
              <w:rPr>
                <w:rFonts w:hint="eastAsia" w:ascii="宋体" w:hAnsi="Wingdings" w:cs="Times New Roman"/>
                <w:color w:val="auto"/>
                <w:sz w:val="24"/>
                <w:szCs w:val="24"/>
                <w:highlight w:val="none"/>
              </w:rPr>
              <w:sym w:font="Wingdings" w:char="00A8"/>
            </w:r>
            <w:r>
              <w:rPr>
                <w:rFonts w:hint="eastAsia" w:ascii="宋体" w:hAnsi="宋体" w:cs="宋体"/>
                <w:color w:val="auto"/>
                <w:sz w:val="24"/>
                <w:szCs w:val="24"/>
                <w:highlight w:val="none"/>
              </w:rPr>
              <w:t>不适用</w:t>
            </w:r>
          </w:p>
          <w:p w14:paraId="2C638E49">
            <w:pPr>
              <w:widowControl/>
              <w:spacing w:line="400" w:lineRule="exact"/>
              <w:rPr>
                <w:rFonts w:hint="eastAsia" w:ascii="宋体" w:hAnsi="宋体" w:cs="宋体"/>
                <w:color w:val="auto"/>
                <w:sz w:val="24"/>
                <w:szCs w:val="24"/>
                <w:highlight w:val="none"/>
              </w:rPr>
            </w:pPr>
            <w:r>
              <w:rPr>
                <w:rFonts w:hint="eastAsia" w:ascii="宋体" w:hAnsi="Wingdings" w:cs="Times New Roman"/>
                <w:color w:val="auto"/>
                <w:sz w:val="24"/>
                <w:szCs w:val="24"/>
                <w:highlight w:val="none"/>
              </w:rPr>
              <w:sym w:font="Wingdings" w:char="00FE"/>
            </w:r>
            <w:r>
              <w:rPr>
                <w:rFonts w:hint="eastAsia" w:ascii="宋体" w:hAnsi="宋体" w:cs="宋体"/>
                <w:color w:val="auto"/>
                <w:sz w:val="24"/>
                <w:szCs w:val="24"/>
                <w:highlight w:val="none"/>
              </w:rPr>
              <w:t>适用。供应商应提供拟委任的主要人员汇总表和主要人员简历表（格式见第六章</w:t>
            </w:r>
            <w:r>
              <w:rPr>
                <w:rFonts w:ascii="宋体" w:hAnsi="宋体" w:cs="宋体"/>
                <w:color w:val="auto"/>
                <w:sz w:val="24"/>
                <w:szCs w:val="24"/>
                <w:highlight w:val="none"/>
              </w:rPr>
              <w:t>"</w:t>
            </w:r>
            <w:r>
              <w:rPr>
                <w:rFonts w:hint="eastAsia" w:ascii="宋体" w:hAnsi="宋体" w:cs="宋体"/>
                <w:color w:val="auto"/>
                <w:sz w:val="24"/>
                <w:szCs w:val="24"/>
                <w:highlight w:val="none"/>
              </w:rPr>
              <w:t>响应文件格式</w:t>
            </w:r>
            <w:r>
              <w:rPr>
                <w:rFonts w:ascii="宋体" w:hAnsi="宋体" w:cs="宋体"/>
                <w:color w:val="auto"/>
                <w:sz w:val="24"/>
                <w:szCs w:val="24"/>
                <w:highlight w:val="none"/>
              </w:rPr>
              <w:t>"</w:t>
            </w:r>
            <w:r>
              <w:rPr>
                <w:rFonts w:hint="eastAsia" w:ascii="宋体" w:hAnsi="宋体" w:cs="宋体"/>
                <w:color w:val="auto"/>
                <w:sz w:val="24"/>
                <w:szCs w:val="24"/>
                <w:highlight w:val="none"/>
              </w:rPr>
              <w:t>七、资格审查资料（一）项目管理机构组成表（二）主要人员简历表）。供应商应填报满足第一章</w:t>
            </w:r>
            <w:r>
              <w:rPr>
                <w:rFonts w:ascii="宋体" w:hAnsi="宋体" w:cs="宋体"/>
                <w:color w:val="auto"/>
                <w:sz w:val="24"/>
                <w:szCs w:val="24"/>
                <w:highlight w:val="none"/>
              </w:rPr>
              <w:t>"</w:t>
            </w:r>
            <w:r>
              <w:rPr>
                <w:rFonts w:hint="eastAsia" w:ascii="宋体" w:hAnsi="宋体" w:cs="宋体"/>
                <w:color w:val="auto"/>
                <w:sz w:val="24"/>
                <w:szCs w:val="24"/>
                <w:highlight w:val="none"/>
              </w:rPr>
              <w:t>询比采购公告</w:t>
            </w:r>
            <w:r>
              <w:rPr>
                <w:rFonts w:ascii="宋体" w:hAnsi="宋体" w:cs="宋体"/>
                <w:color w:val="auto"/>
                <w:sz w:val="24"/>
                <w:szCs w:val="24"/>
                <w:highlight w:val="none"/>
              </w:rPr>
              <w:t>/</w:t>
            </w:r>
            <w:r>
              <w:rPr>
                <w:rFonts w:hint="eastAsia" w:ascii="宋体" w:hAnsi="宋体" w:cs="宋体"/>
                <w:color w:val="auto"/>
                <w:sz w:val="24"/>
                <w:szCs w:val="24"/>
                <w:highlight w:val="none"/>
              </w:rPr>
              <w:t>询比采购邀请书</w:t>
            </w:r>
            <w:r>
              <w:rPr>
                <w:rFonts w:ascii="宋体" w:hAnsi="宋体" w:cs="宋体"/>
                <w:color w:val="auto"/>
                <w:sz w:val="24"/>
                <w:szCs w:val="24"/>
                <w:highlight w:val="none"/>
              </w:rPr>
              <w:t>"</w:t>
            </w:r>
            <w:r>
              <w:rPr>
                <w:rFonts w:hint="eastAsia" w:ascii="宋体" w:hAnsi="宋体" w:cs="宋体"/>
                <w:color w:val="auto"/>
                <w:sz w:val="24"/>
                <w:szCs w:val="24"/>
                <w:highlight w:val="none"/>
              </w:rPr>
              <w:t>规定的项目负责人和其他主要人员的相关信息；</w:t>
            </w:r>
          </w:p>
          <w:p w14:paraId="6A437508">
            <w:pPr>
              <w:widowControl/>
              <w:spacing w:line="400" w:lineRule="exact"/>
              <w:rPr>
                <w:rFonts w:hint="eastAsia" w:ascii="宋体" w:hAnsi="宋体" w:cs="宋体"/>
                <w:color w:val="auto"/>
                <w:sz w:val="24"/>
                <w:szCs w:val="24"/>
                <w:highlight w:val="none"/>
              </w:rPr>
            </w:pPr>
            <w:r>
              <w:rPr>
                <w:rFonts w:hint="eastAsia" w:ascii="宋体" w:hAnsi="宋体" w:cs="宋体"/>
                <w:color w:val="auto"/>
                <w:kern w:val="0"/>
                <w:sz w:val="24"/>
                <w:szCs w:val="24"/>
                <w:highlight w:val="none"/>
                <w:u w:val="none"/>
                <w:lang w:val="en-US" w:eastAsia="zh-CN"/>
              </w:rPr>
              <w:t>项目负责人：/</w:t>
            </w:r>
            <w:r>
              <w:rPr>
                <w:rFonts w:hint="eastAsia" w:ascii="宋体" w:hAnsi="宋体" w:cs="宋体"/>
                <w:b/>
                <w:bCs/>
                <w:color w:val="auto"/>
                <w:kern w:val="0"/>
                <w:sz w:val="24"/>
                <w:szCs w:val="24"/>
                <w:highlight w:val="none"/>
                <w:u w:val="none"/>
              </w:rPr>
              <w:t>。</w:t>
            </w:r>
          </w:p>
        </w:tc>
      </w:tr>
      <w:tr w14:paraId="2195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31" w:type="dxa"/>
            <w:vAlign w:val="center"/>
          </w:tcPr>
          <w:p w14:paraId="25365E8C">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3.5(7)</w:t>
            </w:r>
          </w:p>
        </w:tc>
        <w:tc>
          <w:tcPr>
            <w:tcW w:w="3368" w:type="dxa"/>
            <w:vAlign w:val="center"/>
          </w:tcPr>
          <w:p w14:paraId="7803F65C">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其他要求的证明材料</w:t>
            </w:r>
          </w:p>
        </w:tc>
        <w:tc>
          <w:tcPr>
            <w:tcW w:w="5795" w:type="dxa"/>
            <w:vAlign w:val="center"/>
          </w:tcPr>
          <w:p w14:paraId="0B226E5B">
            <w:pPr>
              <w:pStyle w:val="18"/>
              <w:widowControl/>
              <w:spacing w:beforeAutospacing="0" w:afterAutospacing="0" w:line="360" w:lineRule="auto"/>
              <w:jc w:val="both"/>
              <w:rPr>
                <w:rFonts w:ascii="宋体" w:cs="Times New Roman"/>
                <w:color w:val="auto"/>
                <w:highlight w:val="none"/>
              </w:rPr>
            </w:pPr>
            <w:r>
              <w:rPr>
                <w:rFonts w:ascii="宋体" w:hAnsi="宋体" w:cs="宋体"/>
                <w:color w:val="auto"/>
                <w:highlight w:val="none"/>
              </w:rPr>
              <w:t>/</w:t>
            </w:r>
          </w:p>
        </w:tc>
      </w:tr>
      <w:tr w14:paraId="0581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131" w:type="dxa"/>
            <w:vAlign w:val="center"/>
          </w:tcPr>
          <w:p w14:paraId="5A64F940">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3.5(8)</w:t>
            </w:r>
          </w:p>
        </w:tc>
        <w:tc>
          <w:tcPr>
            <w:tcW w:w="3368" w:type="dxa"/>
            <w:vAlign w:val="center"/>
          </w:tcPr>
          <w:p w14:paraId="17385085">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询比响应人不存在第一章</w:t>
            </w:r>
            <w:r>
              <w:rPr>
                <w:rFonts w:ascii="宋体" w:hAnsi="宋体" w:cs="宋体"/>
                <w:color w:val="auto"/>
                <w:highlight w:val="none"/>
              </w:rPr>
              <w:t>3.2</w:t>
            </w:r>
            <w:r>
              <w:rPr>
                <w:rFonts w:hint="eastAsia" w:ascii="宋体" w:hAnsi="宋体" w:cs="宋体"/>
                <w:color w:val="auto"/>
                <w:highlight w:val="none"/>
              </w:rPr>
              <w:t>款</w:t>
            </w:r>
          </w:p>
          <w:p w14:paraId="6B7C8D52">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情形的证明材料</w:t>
            </w:r>
          </w:p>
        </w:tc>
        <w:tc>
          <w:tcPr>
            <w:tcW w:w="5795" w:type="dxa"/>
            <w:vAlign w:val="center"/>
          </w:tcPr>
          <w:p w14:paraId="57B45276">
            <w:pPr>
              <w:pStyle w:val="18"/>
              <w:widowControl/>
              <w:spacing w:beforeAutospacing="0" w:afterAutospacing="0" w:line="360" w:lineRule="auto"/>
              <w:rPr>
                <w:rFonts w:ascii="宋体" w:cs="Times New Roman"/>
                <w:color w:val="auto"/>
                <w:highlight w:val="none"/>
              </w:rPr>
            </w:pPr>
            <w:r>
              <w:rPr>
                <w:rFonts w:hint="eastAsia" w:ascii="宋体" w:hAnsi="Wingdings 2" w:cs="Times New Roman"/>
                <w:color w:val="auto"/>
                <w:highlight w:val="none"/>
              </w:rPr>
              <w:sym w:font="Wingdings" w:char="00FE"/>
            </w:r>
            <w:r>
              <w:rPr>
                <w:rFonts w:hint="eastAsia" w:ascii="宋体" w:hAnsi="宋体" w:cs="宋体"/>
                <w:color w:val="auto"/>
                <w:highlight w:val="none"/>
              </w:rPr>
              <w:t>不需提供证明材料</w:t>
            </w:r>
          </w:p>
          <w:p w14:paraId="113DD617">
            <w:pPr>
              <w:pStyle w:val="18"/>
              <w:widowControl/>
              <w:spacing w:beforeAutospacing="0" w:afterAutospacing="0" w:line="360" w:lineRule="auto"/>
              <w:rPr>
                <w:rFonts w:ascii="宋体" w:cs="Times New Roman"/>
                <w:color w:val="auto"/>
                <w:highlight w:val="none"/>
              </w:rPr>
            </w:pPr>
            <w:r>
              <w:rPr>
                <w:rFonts w:hint="eastAsia" w:ascii="宋体" w:hAnsi="Wingdings 2" w:cs="Times New Roman"/>
                <w:color w:val="auto"/>
                <w:highlight w:val="none"/>
              </w:rPr>
              <w:sym w:font="Wingdings" w:char="00A8"/>
            </w:r>
            <w:r>
              <w:rPr>
                <w:rFonts w:hint="eastAsia" w:ascii="宋体" w:hAnsi="宋体" w:cs="宋体"/>
                <w:color w:val="auto"/>
                <w:highlight w:val="none"/>
              </w:rPr>
              <w:t>需要提供证明材料，包括∶</w:t>
            </w:r>
          </w:p>
        </w:tc>
      </w:tr>
      <w:tr w14:paraId="745C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1131" w:type="dxa"/>
            <w:vAlign w:val="center"/>
          </w:tcPr>
          <w:p w14:paraId="6F6D5F34">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3.5(9)</w:t>
            </w:r>
          </w:p>
        </w:tc>
        <w:tc>
          <w:tcPr>
            <w:tcW w:w="3368" w:type="dxa"/>
            <w:vAlign w:val="center"/>
          </w:tcPr>
          <w:p w14:paraId="68DD8F0D">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联合体要求的证明材料</w:t>
            </w:r>
          </w:p>
        </w:tc>
        <w:tc>
          <w:tcPr>
            <w:tcW w:w="5795" w:type="dxa"/>
            <w:vAlign w:val="center"/>
          </w:tcPr>
          <w:p w14:paraId="4B7ECF28">
            <w:pPr>
              <w:pStyle w:val="18"/>
              <w:widowControl/>
              <w:spacing w:beforeAutospacing="0" w:afterAutospacing="0" w:line="360" w:lineRule="auto"/>
              <w:rPr>
                <w:rFonts w:ascii="宋体" w:cs="Times New Roman"/>
                <w:color w:val="auto"/>
                <w:highlight w:val="none"/>
              </w:rPr>
            </w:pPr>
            <w:r>
              <w:rPr>
                <w:rFonts w:hint="eastAsia" w:ascii="宋体" w:hAnsi="Wingdings 2" w:cs="Times New Roman"/>
                <w:color w:val="auto"/>
                <w:highlight w:val="none"/>
              </w:rPr>
              <w:sym w:font="Wingdings" w:char="00FE"/>
            </w:r>
            <w:r>
              <w:rPr>
                <w:rFonts w:hint="eastAsia" w:ascii="宋体" w:hAnsi="宋体" w:cs="宋体"/>
                <w:color w:val="auto"/>
                <w:highlight w:val="none"/>
              </w:rPr>
              <w:t>不适用</w:t>
            </w:r>
          </w:p>
          <w:p w14:paraId="7A86C82B">
            <w:pPr>
              <w:pStyle w:val="18"/>
              <w:widowControl/>
              <w:spacing w:beforeAutospacing="0" w:afterAutospacing="0" w:line="360" w:lineRule="auto"/>
              <w:rPr>
                <w:rFonts w:ascii="宋体" w:cs="Times New Roman"/>
                <w:color w:val="auto"/>
                <w:highlight w:val="none"/>
              </w:rPr>
            </w:pPr>
            <w:r>
              <w:rPr>
                <w:rFonts w:hint="eastAsia" w:ascii="宋体" w:hAnsi="Wingdings 2" w:cs="Times New Roman"/>
                <w:color w:val="auto"/>
                <w:highlight w:val="none"/>
              </w:rPr>
              <w:sym w:font="Wingdings" w:char="00A8"/>
            </w:r>
            <w:r>
              <w:rPr>
                <w:rFonts w:hint="eastAsia" w:ascii="宋体" w:hAnsi="宋体" w:cs="宋体"/>
                <w:color w:val="auto"/>
                <w:highlight w:val="none"/>
              </w:rPr>
              <w:t>适用。询比响应人应按照采购文件提供的格式（格式见第六章</w:t>
            </w:r>
            <w:r>
              <w:rPr>
                <w:rFonts w:ascii="宋体" w:hAnsi="宋体" w:cs="宋体"/>
                <w:color w:val="auto"/>
                <w:highlight w:val="none"/>
              </w:rPr>
              <w:t>"</w:t>
            </w:r>
            <w:r>
              <w:rPr>
                <w:rFonts w:hint="eastAsia" w:ascii="宋体" w:hAnsi="宋体" w:cs="宋体"/>
                <w:color w:val="auto"/>
                <w:highlight w:val="none"/>
              </w:rPr>
              <w:t>响应文件格式</w:t>
            </w:r>
            <w:r>
              <w:rPr>
                <w:rFonts w:ascii="宋体" w:hAnsi="宋体" w:cs="宋体"/>
                <w:color w:val="auto"/>
                <w:highlight w:val="none"/>
              </w:rPr>
              <w:t>"</w:t>
            </w:r>
            <w:r>
              <w:rPr>
                <w:rFonts w:hint="eastAsia" w:ascii="宋体" w:hAnsi="宋体" w:cs="宋体"/>
                <w:color w:val="auto"/>
                <w:highlight w:val="none"/>
              </w:rPr>
              <w:t>三、联合体协议书）拟订联合体协议书，并提供联合体协议书的原件。联合体协议书应明确联合体各方的分工</w:t>
            </w:r>
          </w:p>
        </w:tc>
      </w:tr>
      <w:tr w14:paraId="5E81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1" w:type="dxa"/>
            <w:vAlign w:val="center"/>
          </w:tcPr>
          <w:p w14:paraId="6CB1F99A">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3.6.1</w:t>
            </w:r>
          </w:p>
        </w:tc>
        <w:tc>
          <w:tcPr>
            <w:tcW w:w="3368" w:type="dxa"/>
            <w:vAlign w:val="center"/>
          </w:tcPr>
          <w:p w14:paraId="1560DABF">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对关键条款进行响应的证据或证明材料要求</w:t>
            </w:r>
          </w:p>
        </w:tc>
        <w:tc>
          <w:tcPr>
            <w:tcW w:w="5795" w:type="dxa"/>
            <w:vAlign w:val="center"/>
          </w:tcPr>
          <w:p w14:paraId="4D8722F2">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w:t>
            </w:r>
          </w:p>
        </w:tc>
      </w:tr>
      <w:tr w14:paraId="3CD8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131" w:type="dxa"/>
            <w:vAlign w:val="center"/>
          </w:tcPr>
          <w:p w14:paraId="41E5E1E0">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3.6.2</w:t>
            </w:r>
          </w:p>
        </w:tc>
        <w:tc>
          <w:tcPr>
            <w:tcW w:w="3368" w:type="dxa"/>
            <w:vAlign w:val="center"/>
          </w:tcPr>
          <w:p w14:paraId="7733EC5B">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响应方案数量</w:t>
            </w:r>
          </w:p>
        </w:tc>
        <w:tc>
          <w:tcPr>
            <w:tcW w:w="5795" w:type="dxa"/>
            <w:vAlign w:val="center"/>
          </w:tcPr>
          <w:p w14:paraId="64C9C41A">
            <w:pPr>
              <w:pStyle w:val="18"/>
              <w:widowControl/>
              <w:spacing w:beforeAutospacing="0" w:afterAutospacing="0" w:line="360" w:lineRule="auto"/>
              <w:rPr>
                <w:rFonts w:ascii="宋体" w:cs="Times New Roman"/>
                <w:color w:val="auto"/>
                <w:highlight w:val="none"/>
              </w:rPr>
            </w:pPr>
            <w:r>
              <w:rPr>
                <w:rFonts w:hint="eastAsia" w:ascii="宋体" w:hAnsi="Wingdings 2" w:cs="Times New Roman"/>
                <w:color w:val="auto"/>
                <w:highlight w:val="none"/>
              </w:rPr>
              <w:sym w:font="Wingdings" w:char="00FE"/>
            </w:r>
            <w:r>
              <w:rPr>
                <w:rFonts w:hint="eastAsia" w:ascii="宋体" w:hAnsi="宋体" w:cs="宋体"/>
                <w:color w:val="auto"/>
                <w:highlight w:val="none"/>
              </w:rPr>
              <w:t>询比响应人只能提出唯一响应方案</w:t>
            </w:r>
          </w:p>
          <w:p w14:paraId="459DF737">
            <w:pPr>
              <w:pStyle w:val="18"/>
              <w:widowControl/>
              <w:spacing w:beforeAutospacing="0" w:afterAutospacing="0" w:line="360" w:lineRule="auto"/>
              <w:rPr>
                <w:rFonts w:ascii="宋体" w:cs="Times New Roman"/>
                <w:color w:val="auto"/>
                <w:highlight w:val="none"/>
              </w:rPr>
            </w:pPr>
            <w:r>
              <w:rPr>
                <w:rFonts w:hint="eastAsia" w:ascii="宋体" w:hAnsi="Wingdings 2" w:cs="Times New Roman"/>
                <w:color w:val="auto"/>
                <w:highlight w:val="none"/>
              </w:rPr>
              <w:sym w:font="Wingdings" w:char="00A8"/>
            </w:r>
            <w:r>
              <w:rPr>
                <w:rFonts w:hint="eastAsia" w:ascii="宋体" w:hAnsi="宋体" w:cs="宋体"/>
                <w:color w:val="auto"/>
                <w:highlight w:val="none"/>
              </w:rPr>
              <w:t>询比响应人可提出多个响应方案</w:t>
            </w:r>
          </w:p>
        </w:tc>
      </w:tr>
      <w:tr w14:paraId="725A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1131" w:type="dxa"/>
            <w:vAlign w:val="center"/>
          </w:tcPr>
          <w:p w14:paraId="5404EF53">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3.7.5</w:t>
            </w:r>
          </w:p>
        </w:tc>
        <w:tc>
          <w:tcPr>
            <w:tcW w:w="3368" w:type="dxa"/>
            <w:vAlign w:val="center"/>
          </w:tcPr>
          <w:p w14:paraId="612FC839">
            <w:pPr>
              <w:widowControl/>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响应文件副本份数及电子版要求</w:t>
            </w:r>
          </w:p>
        </w:tc>
        <w:tc>
          <w:tcPr>
            <w:tcW w:w="5795" w:type="dxa"/>
            <w:vAlign w:val="center"/>
          </w:tcPr>
          <w:p w14:paraId="260F4018">
            <w:pPr>
              <w:pStyle w:val="9"/>
              <w:spacing w:after="0" w:line="360" w:lineRule="auto"/>
              <w:rPr>
                <w:rFonts w:ascii="宋体" w:cs="Times New Roman"/>
                <w:color w:val="auto"/>
                <w:kern w:val="0"/>
                <w:sz w:val="24"/>
                <w:szCs w:val="24"/>
                <w:highlight w:val="none"/>
              </w:rPr>
            </w:pPr>
            <w:r>
              <w:rPr>
                <w:rFonts w:hint="eastAsia" w:ascii="宋体" w:hAnsi="宋体" w:cs="宋体"/>
                <w:color w:val="auto"/>
                <w:kern w:val="0"/>
                <w:sz w:val="24"/>
                <w:szCs w:val="24"/>
                <w:highlight w:val="none"/>
              </w:rPr>
              <w:t>响应文件正本份数：</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份</w:t>
            </w:r>
          </w:p>
          <w:p w14:paraId="5F03871B">
            <w:pPr>
              <w:pStyle w:val="9"/>
              <w:spacing w:after="0" w:line="360" w:lineRule="auto"/>
              <w:rPr>
                <w:rFonts w:ascii="宋体" w:cs="Times New Roman"/>
                <w:color w:val="auto"/>
                <w:kern w:val="0"/>
                <w:sz w:val="24"/>
                <w:szCs w:val="24"/>
                <w:highlight w:val="none"/>
              </w:rPr>
            </w:pPr>
            <w:r>
              <w:rPr>
                <w:rFonts w:hint="eastAsia" w:ascii="宋体" w:hAnsi="宋体" w:cs="宋体"/>
                <w:color w:val="auto"/>
                <w:kern w:val="0"/>
                <w:sz w:val="24"/>
                <w:szCs w:val="24"/>
                <w:highlight w:val="none"/>
              </w:rPr>
              <w:t>响应文件副本份数：</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份</w:t>
            </w:r>
          </w:p>
          <w:p w14:paraId="33E1421B">
            <w:pPr>
              <w:pStyle w:val="9"/>
              <w:spacing w:after="0" w:line="360" w:lineRule="auto"/>
              <w:rPr>
                <w:rFonts w:ascii="宋体" w:cs="Times New Roman"/>
                <w:color w:val="auto"/>
                <w:kern w:val="0"/>
                <w:sz w:val="24"/>
                <w:szCs w:val="24"/>
                <w:highlight w:val="none"/>
              </w:rPr>
            </w:pPr>
            <w:r>
              <w:rPr>
                <w:rFonts w:hint="eastAsia" w:ascii="宋体" w:hAnsi="宋体" w:cs="宋体"/>
                <w:color w:val="auto"/>
                <w:kern w:val="0"/>
                <w:sz w:val="24"/>
                <w:szCs w:val="24"/>
                <w:highlight w:val="none"/>
              </w:rPr>
              <w:t>响应文件电子版份数：</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份</w:t>
            </w:r>
          </w:p>
          <w:p w14:paraId="6191DAF1">
            <w:pPr>
              <w:pStyle w:val="9"/>
              <w:spacing w:after="0" w:line="360" w:lineRule="auto"/>
              <w:rPr>
                <w:rFonts w:ascii="宋体" w:cs="Times New Roman"/>
                <w:color w:val="auto"/>
                <w:kern w:val="0"/>
                <w:sz w:val="24"/>
                <w:szCs w:val="24"/>
                <w:highlight w:val="none"/>
              </w:rPr>
            </w:pPr>
            <w:r>
              <w:rPr>
                <w:rFonts w:hint="eastAsia" w:ascii="宋体" w:hAnsi="宋体" w:cs="宋体"/>
                <w:color w:val="auto"/>
                <w:kern w:val="0"/>
                <w:sz w:val="24"/>
                <w:szCs w:val="24"/>
                <w:highlight w:val="none"/>
              </w:rPr>
              <w:t>响应文件电子版形式：</w:t>
            </w:r>
            <w:r>
              <w:rPr>
                <w:rFonts w:ascii="宋体" w:hAnsi="宋体" w:cs="宋体"/>
                <w:color w:val="auto"/>
                <w:kern w:val="0"/>
                <w:sz w:val="24"/>
                <w:szCs w:val="24"/>
                <w:highlight w:val="none"/>
              </w:rPr>
              <w:t>U</w:t>
            </w:r>
            <w:r>
              <w:rPr>
                <w:rFonts w:hint="eastAsia" w:ascii="宋体" w:hAnsi="宋体" w:cs="宋体"/>
                <w:color w:val="auto"/>
                <w:kern w:val="0"/>
                <w:sz w:val="24"/>
                <w:szCs w:val="24"/>
                <w:highlight w:val="none"/>
              </w:rPr>
              <w:t>盘</w:t>
            </w:r>
          </w:p>
          <w:p w14:paraId="719757FF">
            <w:pPr>
              <w:pStyle w:val="9"/>
              <w:spacing w:after="0" w:line="360" w:lineRule="auto"/>
              <w:rPr>
                <w:rFonts w:ascii="宋体" w:cs="Times New Roman"/>
                <w:color w:val="auto"/>
                <w:kern w:val="0"/>
                <w:sz w:val="24"/>
                <w:szCs w:val="24"/>
                <w:highlight w:val="none"/>
              </w:rPr>
            </w:pPr>
            <w:r>
              <w:rPr>
                <w:rFonts w:hint="eastAsia" w:ascii="宋体" w:hAnsi="宋体" w:cs="宋体"/>
                <w:color w:val="auto"/>
                <w:kern w:val="0"/>
                <w:sz w:val="24"/>
                <w:szCs w:val="24"/>
                <w:highlight w:val="none"/>
              </w:rPr>
              <w:t>响应函：</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份</w:t>
            </w:r>
          </w:p>
          <w:p w14:paraId="25F691BF">
            <w:pPr>
              <w:pStyle w:val="9"/>
              <w:spacing w:after="0" w:line="360" w:lineRule="auto"/>
              <w:rPr>
                <w:rFonts w:ascii="宋体" w:cs="Times New Roman"/>
                <w:color w:val="auto"/>
                <w:kern w:val="0"/>
                <w:sz w:val="24"/>
                <w:szCs w:val="24"/>
                <w:highlight w:val="none"/>
              </w:rPr>
            </w:pPr>
            <w:r>
              <w:rPr>
                <w:rFonts w:hint="eastAsia" w:ascii="宋体" w:hAnsi="宋体" w:cs="宋体"/>
                <w:color w:val="auto"/>
                <w:kern w:val="0"/>
                <w:sz w:val="24"/>
                <w:szCs w:val="24"/>
                <w:highlight w:val="none"/>
              </w:rPr>
              <w:t>退还保证金说明：</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份（无）</w:t>
            </w:r>
          </w:p>
          <w:p w14:paraId="5090D5A2">
            <w:pPr>
              <w:pStyle w:val="9"/>
              <w:spacing w:after="0" w:line="360" w:lineRule="auto"/>
              <w:rPr>
                <w:rFonts w:ascii="宋体" w:cs="Times New Roman"/>
                <w:color w:val="auto"/>
                <w:highlight w:val="none"/>
              </w:rPr>
            </w:pPr>
            <w:r>
              <w:rPr>
                <w:rFonts w:hint="eastAsia" w:ascii="宋体" w:hAnsi="宋体" w:cs="宋体"/>
                <w:color w:val="auto"/>
                <w:kern w:val="0"/>
                <w:sz w:val="24"/>
                <w:szCs w:val="24"/>
                <w:highlight w:val="none"/>
              </w:rPr>
              <w:t>其他要求：单独密封“响应函”、“退还询比</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保证金说明”、“响应文件电子版”、“正本”、“副本”须分别装封于不同的密封袋中并加贴封条，并在封套封口处加盖询比</w:t>
            </w:r>
            <w:r>
              <w:rPr>
                <w:rFonts w:hint="eastAsia" w:ascii="宋体" w:hAnsi="宋体" w:cs="宋体"/>
                <w:color w:val="auto"/>
                <w:kern w:val="0"/>
                <w:sz w:val="24"/>
                <w:szCs w:val="24"/>
                <w:highlight w:val="none"/>
                <w:lang w:eastAsia="zh-CN"/>
              </w:rPr>
              <w:t>响应</w:t>
            </w:r>
            <w:r>
              <w:rPr>
                <w:rFonts w:hint="eastAsia" w:ascii="宋体" w:hAnsi="宋体" w:cs="宋体"/>
                <w:color w:val="auto"/>
                <w:kern w:val="0"/>
                <w:sz w:val="24"/>
                <w:szCs w:val="24"/>
                <w:highlight w:val="none"/>
              </w:rPr>
              <w:t>人公章，在封套上标记“响应函”、“退还询比</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保证金说明”、“响应文件电子版”、“正本”、“副本”字样，否则询比响应文件不予接收。</w:t>
            </w:r>
          </w:p>
        </w:tc>
      </w:tr>
      <w:tr w14:paraId="5525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31" w:type="dxa"/>
            <w:vAlign w:val="center"/>
          </w:tcPr>
          <w:p w14:paraId="6CD16077">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3.7.6</w:t>
            </w:r>
          </w:p>
        </w:tc>
        <w:tc>
          <w:tcPr>
            <w:tcW w:w="3368" w:type="dxa"/>
            <w:vAlign w:val="center"/>
          </w:tcPr>
          <w:p w14:paraId="7CE23130">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分册装订要求</w:t>
            </w:r>
          </w:p>
        </w:tc>
        <w:tc>
          <w:tcPr>
            <w:tcW w:w="5795" w:type="dxa"/>
            <w:vAlign w:val="center"/>
          </w:tcPr>
          <w:p w14:paraId="09DE741E">
            <w:pPr>
              <w:pStyle w:val="18"/>
              <w:widowControl/>
              <w:spacing w:beforeAutospacing="0" w:afterAutospacing="0" w:line="360" w:lineRule="auto"/>
              <w:jc w:val="both"/>
              <w:rPr>
                <w:rFonts w:ascii="宋体" w:cs="Times New Roman"/>
                <w:color w:val="auto"/>
                <w:highlight w:val="none"/>
              </w:rPr>
            </w:pPr>
            <w:r>
              <w:rPr>
                <w:rFonts w:ascii="宋体" w:hAnsi="宋体" w:cs="宋体"/>
                <w:color w:val="auto"/>
                <w:highlight w:val="none"/>
              </w:rPr>
              <w:t>/</w:t>
            </w:r>
          </w:p>
        </w:tc>
      </w:tr>
      <w:tr w14:paraId="1773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31" w:type="dxa"/>
            <w:vAlign w:val="center"/>
          </w:tcPr>
          <w:p w14:paraId="130D231A">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3.7.7</w:t>
            </w:r>
          </w:p>
        </w:tc>
        <w:tc>
          <w:tcPr>
            <w:tcW w:w="3368" w:type="dxa"/>
            <w:vAlign w:val="center"/>
          </w:tcPr>
          <w:p w14:paraId="1788B843">
            <w:pPr>
              <w:widowControl/>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响应文件密封</w:t>
            </w:r>
          </w:p>
        </w:tc>
        <w:tc>
          <w:tcPr>
            <w:tcW w:w="5795" w:type="dxa"/>
            <w:vAlign w:val="center"/>
          </w:tcPr>
          <w:p w14:paraId="0294D6A7">
            <w:pPr>
              <w:widowControl/>
              <w:spacing w:line="360" w:lineRule="auto"/>
              <w:rPr>
                <w:rFonts w:ascii="宋体" w:cs="Times New Roman"/>
                <w:color w:val="auto"/>
                <w:sz w:val="24"/>
                <w:szCs w:val="24"/>
                <w:highlight w:val="none"/>
              </w:rPr>
            </w:pPr>
            <w:r>
              <w:rPr>
                <w:rFonts w:hint="eastAsia" w:ascii="宋体" w:hAnsi="Wingdings 2" w:cs="Times New Roman"/>
                <w:color w:val="auto"/>
                <w:highlight w:val="none"/>
              </w:rPr>
              <w:sym w:font="Wingdings" w:char="00A8"/>
            </w:r>
            <w:r>
              <w:rPr>
                <w:rFonts w:hint="eastAsia" w:ascii="宋体" w:hAnsi="宋体" w:cs="宋体"/>
                <w:color w:val="auto"/>
                <w:sz w:val="24"/>
                <w:szCs w:val="24"/>
                <w:highlight w:val="none"/>
              </w:rPr>
              <w:t>不需要密封</w:t>
            </w:r>
          </w:p>
          <w:p w14:paraId="12848FCF">
            <w:pPr>
              <w:widowControl/>
              <w:spacing w:line="360" w:lineRule="auto"/>
              <w:rPr>
                <w:rFonts w:ascii="宋体" w:cs="Times New Roman"/>
                <w:color w:val="auto"/>
                <w:sz w:val="24"/>
                <w:szCs w:val="24"/>
                <w:highlight w:val="none"/>
              </w:rPr>
            </w:pPr>
            <w:r>
              <w:rPr>
                <w:rFonts w:hint="eastAsia" w:ascii="宋体" w:hAnsi="Wingdings" w:cs="Times New Roman"/>
                <w:color w:val="auto"/>
                <w:sz w:val="24"/>
                <w:szCs w:val="24"/>
                <w:highlight w:val="none"/>
              </w:rPr>
              <w:sym w:font="Wingdings" w:char="F0FE"/>
            </w:r>
            <w:r>
              <w:rPr>
                <w:rFonts w:hint="eastAsia" w:ascii="宋体" w:hAnsi="宋体" w:cs="宋体"/>
                <w:color w:val="auto"/>
                <w:sz w:val="24"/>
                <w:szCs w:val="24"/>
                <w:highlight w:val="none"/>
              </w:rPr>
              <w:t>需要密封，</w:t>
            </w:r>
          </w:p>
          <w:p w14:paraId="382D2CD1">
            <w:pPr>
              <w:widowControl/>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t>密封要求∶询比响应文件的正本、副本须分别装封于不同的密封袋中，加贴密封条，并在封套的封口处加盖</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人公章及法定代表人章。询比响应文件的封套上应清楚的标记“正本”、“副本”字样，否则询比响应文件不予接收。单独密封“响应函”、“退还询比保证金说明”、“询比响应文件电子版”，须分别装封于不同的密封袋中并加贴封条，并在封套封口处加盖</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人公章及法定代表人章，在封套上标记“响应函”、“退还保证金说明”、“响应文件电子版”字样，否则响应文件不予接收。</w:t>
            </w:r>
          </w:p>
        </w:tc>
      </w:tr>
    </w:tbl>
    <w:p w14:paraId="3443B0ED">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续表</w:t>
      </w:r>
    </w:p>
    <w:tbl>
      <w:tblPr>
        <w:tblStyle w:val="20"/>
        <w:tblW w:w="10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3866"/>
        <w:gridCol w:w="5422"/>
      </w:tblGrid>
      <w:tr w14:paraId="15F5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11" w:type="dxa"/>
            <w:vAlign w:val="center"/>
          </w:tcPr>
          <w:p w14:paraId="6E75726D">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条款号</w:t>
            </w:r>
          </w:p>
        </w:tc>
        <w:tc>
          <w:tcPr>
            <w:tcW w:w="3866" w:type="dxa"/>
            <w:vAlign w:val="center"/>
          </w:tcPr>
          <w:p w14:paraId="1F0DCD53">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条</w:t>
            </w:r>
            <w:r>
              <w:rPr>
                <w:rFonts w:ascii="宋体" w:hAnsi="宋体" w:cs="宋体"/>
                <w:color w:val="auto"/>
                <w:highlight w:val="none"/>
              </w:rPr>
              <w:t xml:space="preserve"> </w:t>
            </w:r>
            <w:r>
              <w:rPr>
                <w:rFonts w:hint="eastAsia" w:ascii="宋体" w:hAnsi="宋体" w:cs="宋体"/>
                <w:color w:val="auto"/>
                <w:highlight w:val="none"/>
              </w:rPr>
              <w:t>款</w:t>
            </w:r>
            <w:r>
              <w:rPr>
                <w:rFonts w:ascii="宋体" w:hAnsi="宋体" w:cs="宋体"/>
                <w:color w:val="auto"/>
                <w:highlight w:val="none"/>
              </w:rPr>
              <w:t xml:space="preserve"> </w:t>
            </w:r>
            <w:r>
              <w:rPr>
                <w:rFonts w:hint="eastAsia" w:ascii="宋体" w:hAnsi="宋体" w:cs="宋体"/>
                <w:color w:val="auto"/>
                <w:highlight w:val="none"/>
              </w:rPr>
              <w:t>内</w:t>
            </w:r>
            <w:r>
              <w:rPr>
                <w:rFonts w:ascii="宋体" w:hAnsi="宋体" w:cs="宋体"/>
                <w:color w:val="auto"/>
                <w:highlight w:val="none"/>
              </w:rPr>
              <w:t xml:space="preserve"> </w:t>
            </w:r>
            <w:r>
              <w:rPr>
                <w:rFonts w:hint="eastAsia" w:ascii="宋体" w:hAnsi="宋体" w:cs="宋体"/>
                <w:color w:val="auto"/>
                <w:highlight w:val="none"/>
              </w:rPr>
              <w:t>容</w:t>
            </w:r>
          </w:p>
        </w:tc>
        <w:tc>
          <w:tcPr>
            <w:tcW w:w="5422" w:type="dxa"/>
            <w:vAlign w:val="center"/>
          </w:tcPr>
          <w:p w14:paraId="4892AB87">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编</w:t>
            </w:r>
            <w:r>
              <w:rPr>
                <w:rFonts w:ascii="宋体" w:hAnsi="宋体" w:cs="宋体"/>
                <w:color w:val="auto"/>
                <w:highlight w:val="none"/>
              </w:rPr>
              <w:t xml:space="preserve"> </w:t>
            </w:r>
            <w:r>
              <w:rPr>
                <w:rFonts w:hint="eastAsia" w:ascii="宋体" w:hAnsi="宋体" w:cs="宋体"/>
                <w:color w:val="auto"/>
                <w:highlight w:val="none"/>
              </w:rPr>
              <w:t>列</w:t>
            </w:r>
            <w:r>
              <w:rPr>
                <w:rFonts w:ascii="宋体" w:hAnsi="宋体" w:cs="宋体"/>
                <w:color w:val="auto"/>
                <w:highlight w:val="none"/>
              </w:rPr>
              <w:t xml:space="preserve"> </w:t>
            </w:r>
            <w:r>
              <w:rPr>
                <w:rFonts w:hint="eastAsia" w:ascii="宋体" w:hAnsi="宋体" w:cs="宋体"/>
                <w:color w:val="auto"/>
                <w:highlight w:val="none"/>
              </w:rPr>
              <w:t>内</w:t>
            </w:r>
            <w:r>
              <w:rPr>
                <w:rFonts w:ascii="宋体" w:hAnsi="宋体" w:cs="宋体"/>
                <w:color w:val="auto"/>
                <w:highlight w:val="none"/>
              </w:rPr>
              <w:t xml:space="preserve"> </w:t>
            </w:r>
            <w:r>
              <w:rPr>
                <w:rFonts w:hint="eastAsia" w:ascii="宋体" w:hAnsi="宋体" w:cs="宋体"/>
                <w:color w:val="auto"/>
                <w:highlight w:val="none"/>
              </w:rPr>
              <w:t>容</w:t>
            </w:r>
          </w:p>
        </w:tc>
      </w:tr>
      <w:tr w14:paraId="12D9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011" w:type="dxa"/>
            <w:vAlign w:val="center"/>
          </w:tcPr>
          <w:p w14:paraId="7942A2F7">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4.1.2</w:t>
            </w:r>
          </w:p>
        </w:tc>
        <w:tc>
          <w:tcPr>
            <w:tcW w:w="3866" w:type="dxa"/>
            <w:vAlign w:val="center"/>
          </w:tcPr>
          <w:p w14:paraId="10D523C3">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封套上应载明的信息</w:t>
            </w:r>
          </w:p>
        </w:tc>
        <w:tc>
          <w:tcPr>
            <w:tcW w:w="5422" w:type="dxa"/>
            <w:vAlign w:val="center"/>
          </w:tcPr>
          <w:p w14:paraId="696A5EB0">
            <w:pPr>
              <w:pStyle w:val="18"/>
              <w:widowControl/>
              <w:spacing w:beforeAutospacing="0" w:afterAutospacing="0" w:line="360" w:lineRule="auto"/>
              <w:rPr>
                <w:rFonts w:ascii="宋体" w:cs="Times New Roman"/>
                <w:color w:val="auto"/>
                <w:highlight w:val="none"/>
                <w:u w:val="single"/>
              </w:rPr>
            </w:pPr>
            <w:r>
              <w:rPr>
                <w:rFonts w:hint="eastAsia" w:ascii="宋体" w:hAnsi="宋体" w:cs="宋体"/>
                <w:color w:val="auto"/>
                <w:highlight w:val="none"/>
              </w:rPr>
              <w:t>询比响应人名称∶</w:t>
            </w:r>
          </w:p>
          <w:p w14:paraId="3BD31D3B">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rPr>
              <w:t>（项目名称）</w:t>
            </w:r>
            <w:r>
              <w:rPr>
                <w:rFonts w:hint="eastAsia" w:ascii="宋体" w:hAnsi="宋体" w:cs="宋体"/>
                <w:color w:val="auto"/>
                <w:highlight w:val="none"/>
              </w:rPr>
              <w:t>响应文件</w:t>
            </w:r>
          </w:p>
        </w:tc>
      </w:tr>
      <w:tr w14:paraId="7249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011" w:type="dxa"/>
            <w:vAlign w:val="center"/>
          </w:tcPr>
          <w:p w14:paraId="37D26FC9">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4.2.1</w:t>
            </w:r>
          </w:p>
        </w:tc>
        <w:tc>
          <w:tcPr>
            <w:tcW w:w="3866" w:type="dxa"/>
            <w:vAlign w:val="center"/>
          </w:tcPr>
          <w:p w14:paraId="2B619165">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递交响应文件截止时间和地点</w:t>
            </w:r>
          </w:p>
        </w:tc>
        <w:tc>
          <w:tcPr>
            <w:tcW w:w="5422" w:type="dxa"/>
            <w:vAlign w:val="center"/>
          </w:tcPr>
          <w:p w14:paraId="38935811">
            <w:pPr>
              <w:pStyle w:val="18"/>
              <w:widowControl/>
              <w:spacing w:beforeAutospacing="0" w:afterAutospacing="0" w:line="360" w:lineRule="auto"/>
              <w:rPr>
                <w:rFonts w:ascii="宋体" w:cs="Times New Roman"/>
                <w:color w:val="auto"/>
                <w:highlight w:val="none"/>
                <w:u w:val="single"/>
              </w:rPr>
            </w:pPr>
            <w:r>
              <w:rPr>
                <w:rFonts w:hint="eastAsia" w:ascii="宋体" w:hAnsi="宋体" w:cs="宋体"/>
                <w:color w:val="auto"/>
                <w:highlight w:val="none"/>
              </w:rPr>
              <w:t>截止时间∶</w:t>
            </w:r>
            <w:r>
              <w:rPr>
                <w:rFonts w:hint="eastAsia" w:ascii="宋体" w:hAnsi="宋体" w:cs="宋体"/>
                <w:color w:val="auto"/>
                <w:highlight w:val="none"/>
                <w:u w:val="single"/>
                <w:lang w:eastAsia="zh-CN"/>
              </w:rPr>
              <w:t>2025年1月21日上午09时30分（北京时间））</w:t>
            </w:r>
          </w:p>
          <w:p w14:paraId="1E4F0BF7">
            <w:pPr>
              <w:pStyle w:val="18"/>
              <w:widowControl/>
              <w:spacing w:beforeAutospacing="0" w:afterAutospacing="0" w:line="360" w:lineRule="auto"/>
              <w:rPr>
                <w:rFonts w:ascii="宋体" w:cs="Times New Roman"/>
                <w:color w:val="auto"/>
                <w:highlight w:val="none"/>
                <w:u w:val="single"/>
              </w:rPr>
            </w:pPr>
            <w:r>
              <w:rPr>
                <w:rFonts w:hint="eastAsia" w:ascii="宋体" w:hAnsi="宋体" w:cs="宋体"/>
                <w:color w:val="auto"/>
                <w:highlight w:val="none"/>
              </w:rPr>
              <w:t>递交响应文件的地点∶</w:t>
            </w:r>
            <w:r>
              <w:rPr>
                <w:rFonts w:hint="eastAsia" w:ascii="宋体" w:hAnsi="宋体" w:cs="宋体"/>
                <w:color w:val="auto"/>
                <w:highlight w:val="none"/>
                <w:u w:val="single"/>
              </w:rPr>
              <w:t>青海省西宁市西川南路</w:t>
            </w:r>
            <w:r>
              <w:rPr>
                <w:rFonts w:ascii="宋体" w:hAnsi="宋体" w:cs="宋体"/>
                <w:color w:val="auto"/>
                <w:highlight w:val="none"/>
                <w:u w:val="single"/>
              </w:rPr>
              <w:t>76</w:t>
            </w:r>
            <w:r>
              <w:rPr>
                <w:rFonts w:hint="eastAsia" w:ascii="宋体" w:hAnsi="宋体" w:cs="宋体"/>
                <w:color w:val="auto"/>
                <w:highlight w:val="none"/>
                <w:u w:val="single"/>
              </w:rPr>
              <w:t>号万达中心</w:t>
            </w:r>
            <w:r>
              <w:rPr>
                <w:rFonts w:ascii="宋体" w:hAnsi="宋体" w:cs="宋体"/>
                <w:color w:val="auto"/>
                <w:highlight w:val="none"/>
                <w:u w:val="single"/>
              </w:rPr>
              <w:t>1</w:t>
            </w:r>
            <w:r>
              <w:rPr>
                <w:rFonts w:hint="eastAsia" w:ascii="宋体" w:hAnsi="宋体" w:cs="宋体"/>
                <w:color w:val="auto"/>
                <w:highlight w:val="none"/>
                <w:u w:val="single"/>
              </w:rPr>
              <w:t>号写字楼</w:t>
            </w:r>
            <w:r>
              <w:rPr>
                <w:rFonts w:ascii="宋体" w:hAnsi="宋体" w:cs="宋体"/>
                <w:color w:val="auto"/>
                <w:highlight w:val="none"/>
                <w:u w:val="single"/>
              </w:rPr>
              <w:t>6</w:t>
            </w:r>
            <w:r>
              <w:rPr>
                <w:rFonts w:hint="eastAsia" w:ascii="宋体" w:hAnsi="宋体" w:cs="宋体"/>
                <w:color w:val="auto"/>
                <w:highlight w:val="none"/>
                <w:u w:val="single"/>
              </w:rPr>
              <w:t>楼</w:t>
            </w:r>
            <w:r>
              <w:rPr>
                <w:rFonts w:ascii="宋体" w:hAnsi="宋体" w:cs="宋体"/>
                <w:color w:val="auto"/>
                <w:highlight w:val="none"/>
                <w:u w:val="single"/>
              </w:rPr>
              <w:t>10605</w:t>
            </w:r>
            <w:r>
              <w:rPr>
                <w:rFonts w:hint="eastAsia" w:ascii="宋体" w:hAnsi="宋体" w:cs="宋体"/>
                <w:color w:val="auto"/>
                <w:highlight w:val="none"/>
                <w:u w:val="single"/>
              </w:rPr>
              <w:t>室</w:t>
            </w:r>
          </w:p>
        </w:tc>
      </w:tr>
      <w:tr w14:paraId="1560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11" w:type="dxa"/>
            <w:vAlign w:val="center"/>
          </w:tcPr>
          <w:p w14:paraId="0E815EB6">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4.2.2</w:t>
            </w:r>
          </w:p>
        </w:tc>
        <w:tc>
          <w:tcPr>
            <w:tcW w:w="3866" w:type="dxa"/>
            <w:vAlign w:val="center"/>
          </w:tcPr>
          <w:p w14:paraId="787CE110">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是否退还响应文件</w:t>
            </w:r>
          </w:p>
        </w:tc>
        <w:tc>
          <w:tcPr>
            <w:tcW w:w="5422" w:type="dxa"/>
            <w:vAlign w:val="center"/>
          </w:tcPr>
          <w:p w14:paraId="22D41EEE">
            <w:pPr>
              <w:pStyle w:val="18"/>
              <w:widowControl/>
              <w:spacing w:beforeAutospacing="0" w:afterAutospacing="0" w:line="360" w:lineRule="auto"/>
              <w:rPr>
                <w:rFonts w:ascii="宋体" w:cs="Times New Roman"/>
                <w:color w:val="auto"/>
                <w:highlight w:val="none"/>
              </w:rPr>
            </w:pPr>
            <w:r>
              <w:rPr>
                <w:rFonts w:hint="eastAsia" w:ascii="宋体" w:hAnsi="Wingdings 2" w:cs="Times New Roman"/>
                <w:color w:val="auto"/>
                <w:highlight w:val="none"/>
              </w:rPr>
              <w:sym w:font="Wingdings" w:char="00FE"/>
            </w:r>
            <w:r>
              <w:rPr>
                <w:rFonts w:hint="eastAsia" w:ascii="宋体" w:hAnsi="宋体" w:cs="宋体"/>
                <w:color w:val="auto"/>
                <w:highlight w:val="none"/>
              </w:rPr>
              <w:t>否</w:t>
            </w:r>
          </w:p>
          <w:p w14:paraId="40A7336B">
            <w:pPr>
              <w:pStyle w:val="18"/>
              <w:widowControl/>
              <w:spacing w:beforeAutospacing="0" w:afterAutospacing="0" w:line="360" w:lineRule="auto"/>
              <w:rPr>
                <w:rFonts w:ascii="宋体" w:cs="Times New Roman"/>
                <w:color w:val="auto"/>
                <w:highlight w:val="none"/>
              </w:rPr>
            </w:pPr>
            <w:r>
              <w:rPr>
                <w:rFonts w:hint="eastAsia" w:ascii="宋体" w:hAnsi="Wingdings 2" w:cs="Times New Roman"/>
                <w:color w:val="auto"/>
                <w:highlight w:val="none"/>
              </w:rPr>
              <w:sym w:font="Wingdings" w:char="00A8"/>
            </w:r>
            <w:r>
              <w:rPr>
                <w:rFonts w:hint="eastAsia" w:ascii="宋体" w:hAnsi="宋体" w:cs="宋体"/>
                <w:color w:val="auto"/>
                <w:highlight w:val="none"/>
              </w:rPr>
              <w:t>是，退还时间∶</w:t>
            </w:r>
          </w:p>
        </w:tc>
      </w:tr>
      <w:tr w14:paraId="2CDE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11" w:type="dxa"/>
            <w:vAlign w:val="center"/>
          </w:tcPr>
          <w:p w14:paraId="12DCAB90">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4.3.3</w:t>
            </w:r>
          </w:p>
        </w:tc>
        <w:tc>
          <w:tcPr>
            <w:tcW w:w="3866" w:type="dxa"/>
            <w:vAlign w:val="center"/>
          </w:tcPr>
          <w:p w14:paraId="2AD9A14A">
            <w:pPr>
              <w:widowControl/>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投标人撤回响应文件情况下退还响应保证金的时间</w:t>
            </w:r>
          </w:p>
        </w:tc>
        <w:tc>
          <w:tcPr>
            <w:tcW w:w="5422" w:type="dxa"/>
            <w:vAlign w:val="center"/>
          </w:tcPr>
          <w:p w14:paraId="6DE6AB66">
            <w:pPr>
              <w:widowControl/>
              <w:spacing w:line="360" w:lineRule="auto"/>
              <w:rPr>
                <w:rFonts w:ascii="宋体" w:cs="Times New Roman"/>
                <w:color w:val="auto"/>
                <w:sz w:val="24"/>
                <w:szCs w:val="24"/>
                <w:highlight w:val="none"/>
              </w:rPr>
            </w:pPr>
            <w:r>
              <w:rPr>
                <w:rFonts w:hint="eastAsia" w:ascii="宋体" w:hAnsi="宋体" w:cs="宋体"/>
                <w:color w:val="auto"/>
                <w:sz w:val="24"/>
                <w:szCs w:val="24"/>
                <w:highlight w:val="none"/>
              </w:rPr>
              <w:t>自采购人收到投标人递交的书面通知之日起</w:t>
            </w:r>
            <w:r>
              <w:rPr>
                <w:rFonts w:ascii="宋体" w:hAnsi="宋体" w:cs="宋体"/>
                <w:color w:val="auto"/>
                <w:sz w:val="24"/>
                <w:szCs w:val="24"/>
                <w:highlight w:val="none"/>
                <w:u w:val="single"/>
              </w:rPr>
              <w:t>5</w:t>
            </w:r>
            <w:r>
              <w:rPr>
                <w:rFonts w:hint="eastAsia" w:ascii="宋体" w:hAnsi="宋体" w:cs="宋体"/>
                <w:color w:val="auto"/>
                <w:sz w:val="24"/>
                <w:szCs w:val="24"/>
                <w:highlight w:val="none"/>
              </w:rPr>
              <w:t>日内</w:t>
            </w:r>
          </w:p>
        </w:tc>
      </w:tr>
      <w:tr w14:paraId="60DE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11" w:type="dxa"/>
            <w:vAlign w:val="center"/>
          </w:tcPr>
          <w:p w14:paraId="6779882F">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5.2(4)</w:t>
            </w:r>
          </w:p>
        </w:tc>
        <w:tc>
          <w:tcPr>
            <w:tcW w:w="3866" w:type="dxa"/>
            <w:vAlign w:val="center"/>
          </w:tcPr>
          <w:p w14:paraId="46C59D59">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开启程序</w:t>
            </w:r>
          </w:p>
        </w:tc>
        <w:tc>
          <w:tcPr>
            <w:tcW w:w="5422" w:type="dxa"/>
            <w:vAlign w:val="center"/>
          </w:tcPr>
          <w:p w14:paraId="3B050134">
            <w:pPr>
              <w:pStyle w:val="18"/>
              <w:widowControl/>
              <w:spacing w:beforeAutospacing="0" w:afterAutospacing="0" w:line="360" w:lineRule="auto"/>
              <w:rPr>
                <w:rFonts w:ascii="宋体" w:cs="Times New Roman"/>
                <w:i/>
                <w:iCs/>
                <w:color w:val="auto"/>
                <w:highlight w:val="none"/>
                <w:u w:val="single"/>
              </w:rPr>
            </w:pPr>
            <w:r>
              <w:rPr>
                <w:rFonts w:hint="eastAsia" w:ascii="宋体" w:hAnsi="宋体" w:cs="宋体"/>
                <w:color w:val="auto"/>
                <w:highlight w:val="none"/>
              </w:rPr>
              <w:t>开启顺序∶</w:t>
            </w:r>
            <w:r>
              <w:rPr>
                <w:rFonts w:hint="eastAsia" w:ascii="宋体" w:hAnsi="宋体" w:cs="宋体"/>
                <w:color w:val="auto"/>
                <w:highlight w:val="none"/>
                <w:u w:val="single"/>
              </w:rPr>
              <w:t>递交顺序</w:t>
            </w:r>
          </w:p>
          <w:p w14:paraId="266D71FB">
            <w:pPr>
              <w:pStyle w:val="18"/>
              <w:widowControl/>
              <w:spacing w:beforeAutospacing="0" w:afterAutospacing="0" w:line="360" w:lineRule="auto"/>
              <w:rPr>
                <w:rFonts w:hint="eastAsia" w:ascii="宋体" w:eastAsia="宋体" w:cs="Times New Roman"/>
                <w:color w:val="auto"/>
                <w:highlight w:val="none"/>
                <w:lang w:eastAsia="zh-CN"/>
              </w:rPr>
            </w:pPr>
            <w:r>
              <w:rPr>
                <w:rFonts w:hint="eastAsia" w:ascii="宋体" w:hAnsi="宋体" w:cs="宋体"/>
                <w:color w:val="auto"/>
                <w:highlight w:val="none"/>
              </w:rPr>
              <w:t>其他应公布的信息∶</w:t>
            </w:r>
            <w:r>
              <w:rPr>
                <w:rFonts w:hint="eastAsia" w:ascii="宋体" w:hAnsi="宋体" w:cs="宋体"/>
                <w:color w:val="auto"/>
                <w:highlight w:val="none"/>
                <w:lang w:eastAsia="zh-CN"/>
              </w:rPr>
              <w:t>成交人名称、成交人地址、服务期等</w:t>
            </w:r>
          </w:p>
        </w:tc>
      </w:tr>
      <w:tr w14:paraId="4377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011" w:type="dxa"/>
            <w:vAlign w:val="center"/>
          </w:tcPr>
          <w:p w14:paraId="73C1B618">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5.3</w:t>
            </w:r>
          </w:p>
        </w:tc>
        <w:tc>
          <w:tcPr>
            <w:tcW w:w="3866" w:type="dxa"/>
            <w:vAlign w:val="center"/>
          </w:tcPr>
          <w:p w14:paraId="72BEE290">
            <w:pPr>
              <w:pStyle w:val="18"/>
              <w:widowControl/>
              <w:spacing w:beforeAutospacing="0" w:afterAutospacing="0" w:line="400" w:lineRule="exact"/>
              <w:jc w:val="center"/>
              <w:rPr>
                <w:rFonts w:ascii="宋体" w:cs="Times New Roman"/>
                <w:color w:val="auto"/>
                <w:kern w:val="2"/>
                <w:highlight w:val="none"/>
              </w:rPr>
            </w:pPr>
            <w:r>
              <w:rPr>
                <w:rFonts w:hint="eastAsia" w:ascii="宋体" w:hAnsi="宋体" w:cs="宋体"/>
                <w:color w:val="auto"/>
                <w:kern w:val="2"/>
                <w:highlight w:val="none"/>
              </w:rPr>
              <w:t>递交响应文件的供应商</w:t>
            </w:r>
          </w:p>
          <w:p w14:paraId="3877C69E">
            <w:pPr>
              <w:pStyle w:val="18"/>
              <w:widowControl/>
              <w:spacing w:beforeAutospacing="0" w:afterAutospacing="0" w:line="400" w:lineRule="exact"/>
              <w:jc w:val="center"/>
              <w:rPr>
                <w:rFonts w:ascii="宋体" w:cs="Times New Roman"/>
                <w:color w:val="auto"/>
                <w:highlight w:val="none"/>
              </w:rPr>
            </w:pPr>
            <w:r>
              <w:rPr>
                <w:rFonts w:hint="eastAsia" w:ascii="宋体" w:hAnsi="宋体" w:cs="宋体"/>
                <w:color w:val="auto"/>
                <w:kern w:val="2"/>
                <w:highlight w:val="none"/>
              </w:rPr>
              <w:t>不足的情形</w:t>
            </w:r>
          </w:p>
        </w:tc>
        <w:tc>
          <w:tcPr>
            <w:tcW w:w="5422" w:type="dxa"/>
            <w:vAlign w:val="center"/>
          </w:tcPr>
          <w:p w14:paraId="6BB50403">
            <w:pPr>
              <w:pStyle w:val="18"/>
              <w:widowControl/>
              <w:spacing w:beforeAutospacing="0" w:afterAutospacing="0" w:line="400" w:lineRule="exact"/>
              <w:rPr>
                <w:rFonts w:ascii="宋体" w:cs="Times New Roman"/>
                <w:color w:val="auto"/>
                <w:kern w:val="2"/>
                <w:highlight w:val="none"/>
              </w:rPr>
            </w:pPr>
            <w:r>
              <w:rPr>
                <w:rFonts w:hint="eastAsia" w:ascii="宋体" w:hAnsi="宋体" w:cs="宋体"/>
                <w:color w:val="auto"/>
                <w:kern w:val="2"/>
                <w:highlight w:val="none"/>
              </w:rPr>
              <w:t>成交供应商为多家时，供应商不足的数量要求：</w:t>
            </w:r>
            <w:r>
              <w:rPr>
                <w:rFonts w:ascii="宋体" w:hAnsi="宋体" w:cs="宋体"/>
                <w:color w:val="auto"/>
                <w:kern w:val="2"/>
                <w:highlight w:val="none"/>
                <w:u w:val="single"/>
              </w:rPr>
              <w:t>3</w:t>
            </w:r>
            <w:r>
              <w:rPr>
                <w:rFonts w:hint="eastAsia" w:ascii="宋体" w:hAnsi="宋体" w:cs="宋体"/>
                <w:color w:val="auto"/>
                <w:kern w:val="2"/>
                <w:highlight w:val="none"/>
              </w:rPr>
              <w:t>家</w:t>
            </w:r>
          </w:p>
          <w:p w14:paraId="6597847F">
            <w:pPr>
              <w:pStyle w:val="18"/>
              <w:widowControl/>
              <w:spacing w:beforeAutospacing="0" w:afterAutospacing="0" w:line="400" w:lineRule="exact"/>
              <w:rPr>
                <w:rFonts w:ascii="宋体" w:cs="Times New Roman"/>
                <w:color w:val="auto"/>
                <w:highlight w:val="none"/>
              </w:rPr>
            </w:pPr>
            <w:r>
              <w:rPr>
                <w:rFonts w:hint="eastAsia" w:ascii="宋体" w:hAnsi="宋体" w:cs="宋体"/>
                <w:color w:val="auto"/>
                <w:kern w:val="2"/>
                <w:highlight w:val="none"/>
              </w:rPr>
              <w:t>（注：采购人在此处填写的数量一般不少于成交供应商数量的</w:t>
            </w:r>
            <w:r>
              <w:rPr>
                <w:rFonts w:ascii="宋体" w:hAnsi="宋体" w:cs="宋体"/>
                <w:color w:val="auto"/>
                <w:kern w:val="2"/>
                <w:highlight w:val="none"/>
              </w:rPr>
              <w:t>2</w:t>
            </w:r>
            <w:r>
              <w:rPr>
                <w:rFonts w:hint="eastAsia" w:ascii="宋体" w:hAnsi="宋体" w:cs="宋体"/>
                <w:color w:val="auto"/>
                <w:kern w:val="2"/>
                <w:highlight w:val="none"/>
              </w:rPr>
              <w:t>倍。）</w:t>
            </w:r>
          </w:p>
        </w:tc>
      </w:tr>
      <w:tr w14:paraId="3937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011" w:type="dxa"/>
            <w:vAlign w:val="center"/>
          </w:tcPr>
          <w:p w14:paraId="75A728BE">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6.2.2</w:t>
            </w:r>
          </w:p>
        </w:tc>
        <w:tc>
          <w:tcPr>
            <w:tcW w:w="3866" w:type="dxa"/>
            <w:vAlign w:val="center"/>
          </w:tcPr>
          <w:p w14:paraId="42713B4B">
            <w:pPr>
              <w:pStyle w:val="18"/>
              <w:widowControl/>
              <w:spacing w:beforeAutospacing="0" w:afterAutospacing="0" w:line="400" w:lineRule="exact"/>
              <w:jc w:val="center"/>
              <w:rPr>
                <w:rFonts w:ascii="宋体" w:cs="Times New Roman"/>
                <w:color w:val="auto"/>
                <w:highlight w:val="none"/>
              </w:rPr>
            </w:pPr>
            <w:r>
              <w:rPr>
                <w:rFonts w:hint="eastAsia" w:ascii="宋体" w:hAnsi="宋体" w:cs="宋体"/>
                <w:color w:val="auto"/>
                <w:highlight w:val="none"/>
              </w:rPr>
              <w:t>推荐候选成交供应商的</w:t>
            </w:r>
          </w:p>
          <w:p w14:paraId="184282B4">
            <w:pPr>
              <w:pStyle w:val="18"/>
              <w:widowControl/>
              <w:spacing w:beforeAutospacing="0" w:afterAutospacing="0" w:line="400" w:lineRule="exact"/>
              <w:jc w:val="center"/>
              <w:rPr>
                <w:rFonts w:ascii="宋体" w:cs="Times New Roman"/>
                <w:color w:val="auto"/>
                <w:highlight w:val="none"/>
              </w:rPr>
            </w:pPr>
            <w:r>
              <w:rPr>
                <w:rFonts w:hint="eastAsia" w:ascii="宋体" w:hAnsi="宋体" w:cs="宋体"/>
                <w:color w:val="auto"/>
                <w:highlight w:val="none"/>
              </w:rPr>
              <w:t>排序及数量</w:t>
            </w:r>
          </w:p>
        </w:tc>
        <w:tc>
          <w:tcPr>
            <w:tcW w:w="5422" w:type="dxa"/>
            <w:vAlign w:val="center"/>
          </w:tcPr>
          <w:p w14:paraId="7C35772D">
            <w:pPr>
              <w:pStyle w:val="18"/>
              <w:widowControl/>
              <w:spacing w:beforeAutospacing="0" w:afterAutospacing="0" w:line="400" w:lineRule="exact"/>
              <w:rPr>
                <w:rFonts w:ascii="宋体" w:cs="Times New Roman"/>
                <w:color w:val="auto"/>
                <w:highlight w:val="none"/>
              </w:rPr>
            </w:pPr>
            <w:r>
              <w:rPr>
                <w:rFonts w:hint="eastAsia" w:ascii="宋体" w:hAnsi="宋体" w:cs="宋体"/>
                <w:color w:val="auto"/>
                <w:highlight w:val="none"/>
              </w:rPr>
              <w:t>是否排序：</w:t>
            </w:r>
          </w:p>
          <w:p w14:paraId="07E74F9E">
            <w:pPr>
              <w:pStyle w:val="18"/>
              <w:widowControl/>
              <w:spacing w:beforeAutospacing="0" w:afterAutospacing="0" w:line="400" w:lineRule="exact"/>
              <w:rPr>
                <w:rFonts w:ascii="宋体" w:cs="Times New Roman"/>
                <w:color w:val="auto"/>
                <w:highlight w:val="none"/>
              </w:rPr>
            </w:pPr>
            <w:r>
              <w:rPr>
                <w:rFonts w:hint="eastAsia" w:ascii="宋体" w:hAnsi="Wingdings" w:cs="Times New Roman"/>
                <w:color w:val="auto"/>
                <w:highlight w:val="none"/>
              </w:rPr>
              <w:sym w:font="Wingdings" w:char="F0A8"/>
            </w:r>
            <w:r>
              <w:rPr>
                <w:rFonts w:hint="eastAsia" w:ascii="宋体" w:hAnsi="宋体" w:cs="宋体"/>
                <w:color w:val="auto"/>
                <w:highlight w:val="none"/>
              </w:rPr>
              <w:t>排序</w:t>
            </w:r>
          </w:p>
          <w:p w14:paraId="369C3779">
            <w:pPr>
              <w:pStyle w:val="18"/>
              <w:widowControl/>
              <w:spacing w:beforeAutospacing="0" w:afterAutospacing="0" w:line="400" w:lineRule="exact"/>
              <w:rPr>
                <w:rFonts w:ascii="宋体" w:cs="Times New Roman"/>
                <w:color w:val="auto"/>
                <w:highlight w:val="none"/>
              </w:rPr>
            </w:pPr>
            <w:r>
              <w:rPr>
                <w:rFonts w:hint="eastAsia" w:ascii="宋体" w:hAnsi="Wingdings" w:cs="Times New Roman"/>
                <w:color w:val="auto"/>
                <w:highlight w:val="none"/>
              </w:rPr>
              <w:sym w:font="Wingdings" w:char="F0FE"/>
            </w:r>
            <w:r>
              <w:rPr>
                <w:rFonts w:hint="eastAsia" w:ascii="宋体" w:hAnsi="宋体" w:cs="宋体"/>
                <w:color w:val="auto"/>
                <w:highlight w:val="none"/>
              </w:rPr>
              <w:t>不排序</w:t>
            </w:r>
          </w:p>
          <w:p w14:paraId="35E6ABE9">
            <w:pPr>
              <w:pStyle w:val="18"/>
              <w:widowControl/>
              <w:spacing w:beforeAutospacing="0" w:afterAutospacing="0" w:line="400" w:lineRule="exact"/>
              <w:rPr>
                <w:rFonts w:ascii="宋体" w:cs="Times New Roman"/>
                <w:color w:val="auto"/>
                <w:highlight w:val="none"/>
              </w:rPr>
            </w:pPr>
            <w:r>
              <w:rPr>
                <w:rFonts w:hint="eastAsia" w:ascii="宋体" w:hAnsi="宋体" w:cs="宋体"/>
                <w:color w:val="auto"/>
                <w:highlight w:val="none"/>
              </w:rPr>
              <w:t>数量：</w:t>
            </w:r>
            <w:r>
              <w:rPr>
                <w:rFonts w:ascii="宋体" w:hAnsi="宋体" w:cs="宋体"/>
                <w:color w:val="auto"/>
                <w:highlight w:val="none"/>
                <w:u w:val="single"/>
              </w:rPr>
              <w:t>1</w:t>
            </w:r>
          </w:p>
        </w:tc>
      </w:tr>
      <w:tr w14:paraId="02C3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11" w:type="dxa"/>
            <w:vAlign w:val="center"/>
          </w:tcPr>
          <w:p w14:paraId="3C338E86">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7.3</w:t>
            </w:r>
          </w:p>
        </w:tc>
        <w:tc>
          <w:tcPr>
            <w:tcW w:w="3866" w:type="dxa"/>
            <w:vAlign w:val="center"/>
          </w:tcPr>
          <w:p w14:paraId="73A61A5F">
            <w:pPr>
              <w:pStyle w:val="18"/>
              <w:widowControl/>
              <w:spacing w:beforeAutospacing="0" w:afterAutospacing="0" w:line="360" w:lineRule="auto"/>
              <w:jc w:val="center"/>
              <w:rPr>
                <w:rFonts w:hint="eastAsia" w:ascii="宋体" w:eastAsia="宋体" w:cs="Times New Roman"/>
                <w:color w:val="auto"/>
                <w:highlight w:val="none"/>
                <w:lang w:eastAsia="zh-CN"/>
              </w:rPr>
            </w:pPr>
            <w:r>
              <w:rPr>
                <w:rFonts w:hint="eastAsia" w:ascii="宋体" w:hAnsi="宋体" w:cs="宋体"/>
                <w:color w:val="auto"/>
                <w:highlight w:val="none"/>
              </w:rPr>
              <w:t>预成交结果公示</w:t>
            </w:r>
            <w:r>
              <w:rPr>
                <w:rFonts w:hint="eastAsia" w:ascii="宋体" w:hAnsi="宋体" w:cs="宋体"/>
                <w:color w:val="auto"/>
                <w:highlight w:val="none"/>
                <w:lang w:eastAsia="zh-CN"/>
              </w:rPr>
              <w:t>（本项目不适用）</w:t>
            </w:r>
          </w:p>
        </w:tc>
        <w:tc>
          <w:tcPr>
            <w:tcW w:w="5422" w:type="dxa"/>
            <w:vAlign w:val="center"/>
          </w:tcPr>
          <w:p w14:paraId="4BBC5301">
            <w:pPr>
              <w:pStyle w:val="18"/>
              <w:widowControl/>
              <w:spacing w:beforeAutospacing="0" w:afterAutospacing="0" w:line="360" w:lineRule="auto"/>
              <w:rPr>
                <w:rFonts w:ascii="宋体" w:cs="Times New Roman"/>
                <w:color w:val="auto"/>
                <w:highlight w:val="none"/>
              </w:rPr>
            </w:pPr>
            <w:r>
              <w:rPr>
                <w:rFonts w:hint="eastAsia" w:ascii="宋体" w:hAnsi="宋体" w:cs="宋体"/>
                <w:color w:val="auto"/>
                <w:highlight w:val="none"/>
              </w:rPr>
              <w:t>本询比采购公告在</w:t>
            </w:r>
            <w:r>
              <w:rPr>
                <w:rFonts w:hint="eastAsia" w:ascii="宋体" w:hAnsi="宋体" w:cs="宋体"/>
                <w:color w:val="auto"/>
                <w:highlight w:val="none"/>
                <w:u w:val="single"/>
                <w:lang w:val="en-US" w:eastAsia="zh-CN"/>
              </w:rPr>
              <w:t xml:space="preserve">  /  </w:t>
            </w:r>
            <w:r>
              <w:rPr>
                <w:rFonts w:hint="eastAsia" w:ascii="宋体" w:hAnsi="宋体" w:cs="宋体"/>
                <w:color w:val="auto"/>
                <w:highlight w:val="none"/>
              </w:rPr>
              <w:t>上发布。</w:t>
            </w:r>
          </w:p>
        </w:tc>
      </w:tr>
      <w:tr w14:paraId="0637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jc w:val="center"/>
        </w:trPr>
        <w:tc>
          <w:tcPr>
            <w:tcW w:w="1011" w:type="dxa"/>
            <w:vAlign w:val="center"/>
          </w:tcPr>
          <w:p w14:paraId="188B2387">
            <w:pPr>
              <w:pStyle w:val="18"/>
              <w:widowControl/>
              <w:spacing w:beforeAutospacing="0" w:afterAutospacing="0" w:line="360" w:lineRule="auto"/>
              <w:jc w:val="center"/>
              <w:rPr>
                <w:rFonts w:hint="eastAsia" w:ascii="宋体" w:eastAsia="宋体" w:cs="Times New Roman"/>
                <w:color w:val="auto"/>
                <w:highlight w:val="none"/>
                <w:lang w:eastAsia="zh-CN"/>
              </w:rPr>
            </w:pPr>
            <w:r>
              <w:rPr>
                <w:rFonts w:ascii="宋体" w:hAnsi="宋体" w:cs="宋体"/>
                <w:color w:val="auto"/>
                <w:highlight w:val="none"/>
              </w:rPr>
              <w:t>7.</w:t>
            </w:r>
            <w:r>
              <w:rPr>
                <w:rFonts w:hint="eastAsia" w:ascii="宋体" w:hAnsi="宋体" w:cs="宋体"/>
                <w:color w:val="auto"/>
                <w:highlight w:val="none"/>
                <w:lang w:val="en-US" w:eastAsia="zh-CN"/>
              </w:rPr>
              <w:t>4</w:t>
            </w:r>
          </w:p>
        </w:tc>
        <w:tc>
          <w:tcPr>
            <w:tcW w:w="3866" w:type="dxa"/>
            <w:vAlign w:val="center"/>
          </w:tcPr>
          <w:p w14:paraId="68DFFDD9">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发布成交公告</w:t>
            </w:r>
          </w:p>
        </w:tc>
        <w:tc>
          <w:tcPr>
            <w:tcW w:w="5422" w:type="dxa"/>
            <w:vAlign w:val="center"/>
          </w:tcPr>
          <w:p w14:paraId="3367019E">
            <w:pPr>
              <w:pStyle w:val="18"/>
              <w:widowControl/>
              <w:spacing w:beforeAutospacing="0" w:afterAutospacing="0" w:line="360" w:lineRule="auto"/>
              <w:rPr>
                <w:rFonts w:ascii="宋体" w:cs="Times New Roman"/>
                <w:color w:val="auto"/>
                <w:highlight w:val="none"/>
              </w:rPr>
            </w:pPr>
            <w:r>
              <w:rPr>
                <w:rFonts w:hint="eastAsia" w:ascii="宋体" w:hAnsi="宋体" w:cs="宋体"/>
                <w:color w:val="auto"/>
                <w:highlight w:val="none"/>
              </w:rPr>
              <w:t>公告媒介：</w:t>
            </w:r>
            <w:r>
              <w:rPr>
                <w:rFonts w:hint="eastAsia" w:ascii="宋体" w:hAnsi="宋体" w:cs="宋体"/>
                <w:color w:val="auto"/>
                <w:highlight w:val="none"/>
                <w:u w:val="single"/>
              </w:rPr>
              <w:t>国采购与招标网、青海项目信息网、</w:t>
            </w:r>
            <w:r>
              <w:rPr>
                <w:rFonts w:hint="eastAsia" w:ascii="宋体" w:hAnsi="宋体" w:cs="宋体"/>
                <w:color w:val="auto"/>
                <w:highlight w:val="none"/>
                <w:u w:val="single"/>
                <w:lang w:val="en-US" w:eastAsia="zh-CN"/>
              </w:rPr>
              <w:t>青海电子招标投标公共服务平台、</w:t>
            </w:r>
            <w:r>
              <w:rPr>
                <w:rFonts w:hint="eastAsia" w:ascii="宋体" w:hAnsi="宋体" w:cs="宋体"/>
                <w:color w:val="auto"/>
                <w:highlight w:val="none"/>
                <w:u w:val="single"/>
              </w:rPr>
              <w:t>上海容基工程项目管理有限公司青海分公司官网（</w:t>
            </w:r>
            <w:r>
              <w:rPr>
                <w:rFonts w:ascii="宋体" w:hAnsi="宋体" w:cs="宋体"/>
                <w:color w:val="auto"/>
                <w:highlight w:val="none"/>
                <w:u w:val="single"/>
              </w:rPr>
              <w:t>http://rongjiqinghai.aly20.qzkey.com/</w:t>
            </w:r>
            <w:r>
              <w:rPr>
                <w:rFonts w:hint="eastAsia" w:ascii="宋体" w:hAnsi="宋体" w:cs="宋体"/>
                <w:color w:val="auto"/>
                <w:highlight w:val="none"/>
                <w:u w:val="single"/>
              </w:rPr>
              <w:t>）</w:t>
            </w:r>
            <w:r>
              <w:rPr>
                <w:rFonts w:hint="eastAsia" w:ascii="宋体" w:hAnsi="宋体" w:cs="宋体"/>
                <w:color w:val="auto"/>
                <w:highlight w:val="none"/>
                <w:lang w:val="en-US" w:eastAsia="zh-CN"/>
              </w:rPr>
              <w:t>同时发布</w:t>
            </w:r>
            <w:r>
              <w:rPr>
                <w:rFonts w:hint="eastAsia" w:ascii="宋体" w:hAnsi="宋体" w:cs="宋体"/>
                <w:color w:val="auto"/>
                <w:highlight w:val="none"/>
              </w:rPr>
              <w:t>发布</w:t>
            </w:r>
          </w:p>
          <w:p w14:paraId="4489CD8B">
            <w:pPr>
              <w:pStyle w:val="18"/>
              <w:widowControl/>
              <w:spacing w:beforeAutospacing="0" w:afterAutospacing="0" w:line="360" w:lineRule="auto"/>
              <w:rPr>
                <w:rFonts w:ascii="宋体" w:cs="Times New Roman"/>
                <w:color w:val="auto"/>
                <w:highlight w:val="none"/>
              </w:rPr>
            </w:pPr>
            <w:r>
              <w:rPr>
                <w:rFonts w:hint="eastAsia" w:ascii="宋体" w:hAnsi="宋体" w:cs="宋体"/>
                <w:color w:val="auto"/>
                <w:highlight w:val="none"/>
              </w:rPr>
              <w:t>其他应公告的内容：</w:t>
            </w:r>
            <w:r>
              <w:rPr>
                <w:rFonts w:ascii="宋体" w:hAnsi="宋体" w:cs="宋体"/>
                <w:color w:val="auto"/>
                <w:highlight w:val="none"/>
                <w:u w:val="single"/>
              </w:rPr>
              <w:t xml:space="preserve">       /                  </w:t>
            </w:r>
          </w:p>
          <w:p w14:paraId="4F05EC14">
            <w:pPr>
              <w:pStyle w:val="18"/>
              <w:widowControl/>
              <w:spacing w:beforeAutospacing="0" w:afterAutospacing="0" w:line="360" w:lineRule="auto"/>
              <w:rPr>
                <w:rFonts w:ascii="宋体" w:cs="Times New Roman"/>
                <w:color w:val="auto"/>
                <w:highlight w:val="none"/>
              </w:rPr>
            </w:pPr>
            <w:r>
              <w:rPr>
                <w:rFonts w:hint="eastAsia" w:ascii="宋体" w:hAnsi="宋体" w:cs="宋体"/>
                <w:color w:val="auto"/>
                <w:highlight w:val="none"/>
              </w:rPr>
              <w:t>（注：国有资金占控股或主导地位的采购项目，成交公告应在中国招标投标公共服务平台发布，或者通过省级电子招投标公共服务平台在中国招标投标公共服务平台发布。）</w:t>
            </w:r>
          </w:p>
        </w:tc>
      </w:tr>
    </w:tbl>
    <w:p w14:paraId="1ECDB5F0">
      <w:pPr>
        <w:spacing w:line="360" w:lineRule="auto"/>
        <w:jc w:val="center"/>
        <w:rPr>
          <w:rFonts w:ascii="宋体" w:cs="Times New Roman"/>
          <w:color w:val="auto"/>
          <w:sz w:val="24"/>
          <w:szCs w:val="24"/>
          <w:highlight w:val="none"/>
        </w:rPr>
      </w:pPr>
      <w:r>
        <w:rPr>
          <w:rFonts w:hint="eastAsia" w:ascii="宋体" w:hAnsi="宋体" w:cs="宋体"/>
          <w:color w:val="auto"/>
          <w:sz w:val="24"/>
          <w:szCs w:val="24"/>
          <w:highlight w:val="none"/>
        </w:rPr>
        <w:t>续表</w:t>
      </w:r>
    </w:p>
    <w:tbl>
      <w:tblPr>
        <w:tblStyle w:val="20"/>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3800"/>
        <w:gridCol w:w="5437"/>
      </w:tblGrid>
      <w:tr w14:paraId="5BBD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22" w:type="dxa"/>
            <w:vAlign w:val="center"/>
          </w:tcPr>
          <w:p w14:paraId="2B99C1D5">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条款号</w:t>
            </w:r>
          </w:p>
        </w:tc>
        <w:tc>
          <w:tcPr>
            <w:tcW w:w="3800" w:type="dxa"/>
            <w:vAlign w:val="center"/>
          </w:tcPr>
          <w:p w14:paraId="0B379968">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条</w:t>
            </w:r>
            <w:r>
              <w:rPr>
                <w:rFonts w:ascii="宋体" w:hAnsi="宋体" w:cs="宋体"/>
                <w:color w:val="auto"/>
                <w:highlight w:val="none"/>
              </w:rPr>
              <w:t xml:space="preserve"> </w:t>
            </w:r>
            <w:r>
              <w:rPr>
                <w:rFonts w:hint="eastAsia" w:ascii="宋体" w:hAnsi="宋体" w:cs="宋体"/>
                <w:color w:val="auto"/>
                <w:highlight w:val="none"/>
              </w:rPr>
              <w:t>款</w:t>
            </w:r>
            <w:r>
              <w:rPr>
                <w:rFonts w:ascii="宋体" w:hAnsi="宋体" w:cs="宋体"/>
                <w:color w:val="auto"/>
                <w:highlight w:val="none"/>
              </w:rPr>
              <w:t xml:space="preserve"> </w:t>
            </w:r>
            <w:r>
              <w:rPr>
                <w:rFonts w:hint="eastAsia" w:ascii="宋体" w:hAnsi="宋体" w:cs="宋体"/>
                <w:color w:val="auto"/>
                <w:highlight w:val="none"/>
              </w:rPr>
              <w:t>内</w:t>
            </w:r>
            <w:r>
              <w:rPr>
                <w:rFonts w:ascii="宋体" w:hAnsi="宋体" w:cs="宋体"/>
                <w:color w:val="auto"/>
                <w:highlight w:val="none"/>
              </w:rPr>
              <w:t xml:space="preserve"> </w:t>
            </w:r>
            <w:r>
              <w:rPr>
                <w:rFonts w:hint="eastAsia" w:ascii="宋体" w:hAnsi="宋体" w:cs="宋体"/>
                <w:color w:val="auto"/>
                <w:highlight w:val="none"/>
              </w:rPr>
              <w:t>容</w:t>
            </w:r>
          </w:p>
        </w:tc>
        <w:tc>
          <w:tcPr>
            <w:tcW w:w="5437" w:type="dxa"/>
            <w:vAlign w:val="center"/>
          </w:tcPr>
          <w:p w14:paraId="2CF1C6A9">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编</w:t>
            </w:r>
            <w:r>
              <w:rPr>
                <w:rFonts w:ascii="宋体" w:hAnsi="宋体" w:cs="宋体"/>
                <w:color w:val="auto"/>
                <w:highlight w:val="none"/>
              </w:rPr>
              <w:t xml:space="preserve"> </w:t>
            </w:r>
            <w:r>
              <w:rPr>
                <w:rFonts w:hint="eastAsia" w:ascii="宋体" w:hAnsi="宋体" w:cs="宋体"/>
                <w:color w:val="auto"/>
                <w:highlight w:val="none"/>
              </w:rPr>
              <w:t>列</w:t>
            </w:r>
            <w:r>
              <w:rPr>
                <w:rFonts w:ascii="宋体" w:hAnsi="宋体" w:cs="宋体"/>
                <w:color w:val="auto"/>
                <w:highlight w:val="none"/>
              </w:rPr>
              <w:t xml:space="preserve"> </w:t>
            </w:r>
            <w:r>
              <w:rPr>
                <w:rFonts w:hint="eastAsia" w:ascii="宋体" w:hAnsi="宋体" w:cs="宋体"/>
                <w:color w:val="auto"/>
                <w:highlight w:val="none"/>
              </w:rPr>
              <w:t>内</w:t>
            </w:r>
            <w:r>
              <w:rPr>
                <w:rFonts w:ascii="宋体" w:hAnsi="宋体" w:cs="宋体"/>
                <w:color w:val="auto"/>
                <w:highlight w:val="none"/>
              </w:rPr>
              <w:t xml:space="preserve"> </w:t>
            </w:r>
            <w:r>
              <w:rPr>
                <w:rFonts w:hint="eastAsia" w:ascii="宋体" w:hAnsi="宋体" w:cs="宋体"/>
                <w:color w:val="auto"/>
                <w:highlight w:val="none"/>
              </w:rPr>
              <w:t>容</w:t>
            </w:r>
          </w:p>
        </w:tc>
      </w:tr>
      <w:tr w14:paraId="52A2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jc w:val="center"/>
        </w:trPr>
        <w:tc>
          <w:tcPr>
            <w:tcW w:w="1022" w:type="dxa"/>
            <w:vAlign w:val="center"/>
          </w:tcPr>
          <w:p w14:paraId="4AACFB22">
            <w:pPr>
              <w:pStyle w:val="18"/>
              <w:widowControl/>
              <w:spacing w:beforeAutospacing="0" w:afterAutospacing="0" w:line="360" w:lineRule="auto"/>
              <w:jc w:val="center"/>
              <w:rPr>
                <w:rFonts w:hint="eastAsia" w:ascii="宋体" w:eastAsia="宋体" w:cs="Times New Roman"/>
                <w:color w:val="auto"/>
                <w:highlight w:val="none"/>
                <w:lang w:eastAsia="zh-CN"/>
              </w:rPr>
            </w:pPr>
            <w:r>
              <w:rPr>
                <w:rFonts w:ascii="宋体" w:hAnsi="宋体" w:cs="宋体"/>
                <w:color w:val="auto"/>
                <w:highlight w:val="none"/>
              </w:rPr>
              <w:t>7.</w:t>
            </w:r>
            <w:r>
              <w:rPr>
                <w:rFonts w:hint="eastAsia" w:ascii="宋体" w:hAnsi="宋体" w:cs="宋体"/>
                <w:color w:val="auto"/>
                <w:highlight w:val="none"/>
                <w:lang w:val="en-US" w:eastAsia="zh-CN"/>
              </w:rPr>
              <w:t>5</w:t>
            </w:r>
          </w:p>
        </w:tc>
        <w:tc>
          <w:tcPr>
            <w:tcW w:w="3800" w:type="dxa"/>
            <w:vAlign w:val="center"/>
          </w:tcPr>
          <w:p w14:paraId="376F62CB">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履约保证金</w:t>
            </w:r>
          </w:p>
        </w:tc>
        <w:tc>
          <w:tcPr>
            <w:tcW w:w="5437" w:type="dxa"/>
            <w:vAlign w:val="center"/>
          </w:tcPr>
          <w:p w14:paraId="357A8992">
            <w:pPr>
              <w:pStyle w:val="18"/>
              <w:widowControl/>
              <w:spacing w:beforeAutospacing="0" w:afterAutospacing="0" w:line="360" w:lineRule="auto"/>
              <w:rPr>
                <w:rFonts w:hint="default" w:ascii="宋体" w:eastAsia="宋体" w:cs="Times New Roman"/>
                <w:color w:val="auto"/>
                <w:highlight w:val="none"/>
                <w:lang w:val="en-US" w:eastAsia="zh-CN"/>
              </w:rPr>
            </w:pPr>
            <w:r>
              <w:rPr>
                <w:rFonts w:hint="eastAsia" w:ascii="宋体" w:hAnsi="Wingdings 2" w:cs="Times New Roman"/>
                <w:color w:val="auto"/>
                <w:highlight w:val="none"/>
              </w:rPr>
              <w:sym w:font="Wingdings" w:char="00FE"/>
            </w:r>
            <w:r>
              <w:rPr>
                <w:rFonts w:hint="eastAsia" w:ascii="宋体" w:hAnsi="宋体" w:cs="宋体"/>
                <w:color w:val="auto"/>
                <w:highlight w:val="none"/>
              </w:rPr>
              <w:t>不要求递交</w:t>
            </w:r>
            <w:r>
              <w:rPr>
                <w:rFonts w:hint="eastAsia" w:ascii="宋体" w:hAnsi="宋体" w:cs="宋体"/>
                <w:color w:val="auto"/>
                <w:highlight w:val="none"/>
                <w:lang w:val="en-US" w:eastAsia="zh-CN"/>
              </w:rPr>
              <w:t>:/</w:t>
            </w:r>
          </w:p>
          <w:p w14:paraId="144DA6A2">
            <w:pPr>
              <w:pStyle w:val="18"/>
              <w:widowControl/>
              <w:spacing w:beforeAutospacing="0" w:afterAutospacing="0" w:line="360" w:lineRule="auto"/>
              <w:rPr>
                <w:rFonts w:ascii="宋体" w:cs="Times New Roman"/>
                <w:color w:val="auto"/>
                <w:highlight w:val="none"/>
              </w:rPr>
            </w:pPr>
            <w:r>
              <w:rPr>
                <w:rFonts w:hint="eastAsia" w:ascii="宋体" w:hAnsi="Wingdings 2" w:cs="Times New Roman"/>
                <w:color w:val="auto"/>
                <w:highlight w:val="none"/>
              </w:rPr>
              <w:sym w:font="Wingdings" w:char="00A8"/>
            </w:r>
            <w:r>
              <w:rPr>
                <w:rFonts w:hint="eastAsia" w:ascii="宋体" w:hAnsi="宋体" w:cs="宋体"/>
                <w:color w:val="auto"/>
                <w:highlight w:val="none"/>
              </w:rPr>
              <w:t>要求递交</w:t>
            </w:r>
          </w:p>
          <w:p w14:paraId="52415D11">
            <w:pPr>
              <w:pStyle w:val="18"/>
              <w:widowControl/>
              <w:spacing w:beforeAutospacing="0" w:afterAutospacing="0" w:line="360" w:lineRule="auto"/>
              <w:rPr>
                <w:rFonts w:hint="eastAsia" w:ascii="宋体" w:eastAsia="宋体" w:cs="Times New Roman"/>
                <w:color w:val="auto"/>
                <w:highlight w:val="none"/>
                <w:u w:val="single"/>
                <w:lang w:val="en-US" w:eastAsia="zh-CN"/>
              </w:rPr>
            </w:pPr>
            <w:r>
              <w:rPr>
                <w:rFonts w:hint="eastAsia" w:ascii="宋体" w:hAnsi="宋体" w:cs="宋体"/>
                <w:color w:val="auto"/>
                <w:highlight w:val="none"/>
              </w:rPr>
              <w:t>履约保证金金额∶</w:t>
            </w:r>
            <w:r>
              <w:rPr>
                <w:rFonts w:hint="eastAsia" w:ascii="宋体" w:hAnsi="宋体" w:cs="宋体"/>
                <w:color w:val="auto"/>
                <w:highlight w:val="none"/>
                <w:lang w:val="en-US" w:eastAsia="zh-CN"/>
              </w:rPr>
              <w:t>/</w:t>
            </w:r>
          </w:p>
          <w:p w14:paraId="31470793">
            <w:pPr>
              <w:pStyle w:val="18"/>
              <w:widowControl/>
              <w:spacing w:beforeAutospacing="0" w:afterAutospacing="0" w:line="360" w:lineRule="auto"/>
              <w:ind w:firstLine="240" w:firstLineChars="100"/>
              <w:rPr>
                <w:rFonts w:hint="eastAsia" w:ascii="宋体" w:eastAsia="宋体" w:cs="Times New Roman"/>
                <w:color w:val="auto"/>
                <w:highlight w:val="none"/>
                <w:u w:val="single"/>
                <w:lang w:val="en-US" w:eastAsia="zh-CN"/>
              </w:rPr>
            </w:pPr>
            <w:r>
              <w:rPr>
                <w:rFonts w:hint="eastAsia" w:ascii="宋体" w:hAnsi="宋体" w:cs="宋体"/>
                <w:color w:val="auto"/>
                <w:highlight w:val="none"/>
              </w:rPr>
              <w:t>履约保证金形式∶</w:t>
            </w:r>
            <w:r>
              <w:rPr>
                <w:rFonts w:hint="eastAsia" w:ascii="宋体" w:hAnsi="宋体" w:cs="宋体"/>
                <w:color w:val="auto"/>
                <w:highlight w:val="none"/>
                <w:lang w:val="en-US" w:eastAsia="zh-CN"/>
              </w:rPr>
              <w:t>/</w:t>
            </w:r>
          </w:p>
          <w:p w14:paraId="5D63E9A8">
            <w:pPr>
              <w:pStyle w:val="18"/>
              <w:widowControl/>
              <w:spacing w:beforeAutospacing="0" w:afterAutospacing="0" w:line="360" w:lineRule="auto"/>
              <w:ind w:firstLine="240" w:firstLineChars="100"/>
              <w:rPr>
                <w:rFonts w:hint="eastAsia" w:ascii="宋体" w:eastAsia="宋体" w:cs="Times New Roman"/>
                <w:color w:val="auto"/>
                <w:highlight w:val="none"/>
                <w:u w:val="single"/>
                <w:lang w:val="en-US" w:eastAsia="zh-CN"/>
              </w:rPr>
            </w:pPr>
            <w:r>
              <w:rPr>
                <w:rFonts w:hint="eastAsia" w:ascii="宋体" w:hAnsi="宋体" w:cs="宋体"/>
                <w:color w:val="auto"/>
                <w:highlight w:val="none"/>
              </w:rPr>
              <w:t>履约保证金有效期限∶</w:t>
            </w:r>
            <w:r>
              <w:rPr>
                <w:rFonts w:hint="eastAsia" w:ascii="宋体" w:hAnsi="宋体" w:cs="宋体"/>
                <w:color w:val="auto"/>
                <w:highlight w:val="none"/>
                <w:lang w:val="en-US" w:eastAsia="zh-CN"/>
              </w:rPr>
              <w:t>/</w:t>
            </w:r>
          </w:p>
          <w:p w14:paraId="42B25FA3">
            <w:pPr>
              <w:pStyle w:val="18"/>
              <w:widowControl/>
              <w:spacing w:beforeAutospacing="0" w:afterAutospacing="0" w:line="360" w:lineRule="auto"/>
              <w:ind w:firstLine="240" w:firstLineChars="100"/>
              <w:rPr>
                <w:rFonts w:hint="eastAsia" w:ascii="宋体" w:eastAsia="宋体" w:cs="Times New Roman"/>
                <w:color w:val="auto"/>
                <w:highlight w:val="none"/>
                <w:u w:val="single"/>
                <w:lang w:val="en-US" w:eastAsia="zh-CN"/>
              </w:rPr>
            </w:pPr>
            <w:r>
              <w:rPr>
                <w:rFonts w:hint="eastAsia" w:ascii="宋体" w:hAnsi="宋体" w:cs="宋体"/>
                <w:color w:val="auto"/>
                <w:highlight w:val="none"/>
              </w:rPr>
              <w:t>递交时间∶</w:t>
            </w:r>
            <w:r>
              <w:rPr>
                <w:rFonts w:hint="eastAsia" w:ascii="宋体" w:hAnsi="宋体" w:cs="宋体"/>
                <w:color w:val="auto"/>
                <w:highlight w:val="none"/>
                <w:lang w:val="en-US" w:eastAsia="zh-CN"/>
              </w:rPr>
              <w:t>/</w:t>
            </w:r>
          </w:p>
          <w:p w14:paraId="5A4B2949">
            <w:pPr>
              <w:pStyle w:val="18"/>
              <w:widowControl/>
              <w:spacing w:beforeAutospacing="0" w:afterAutospacing="0" w:line="360" w:lineRule="auto"/>
              <w:rPr>
                <w:rFonts w:hint="eastAsia" w:ascii="宋体" w:eastAsia="宋体" w:cs="Times New Roman"/>
                <w:color w:val="auto"/>
                <w:highlight w:val="none"/>
                <w:u w:val="single"/>
                <w:lang w:eastAsia="zh-CN"/>
              </w:rPr>
            </w:pPr>
            <w:r>
              <w:rPr>
                <w:rFonts w:hint="eastAsia" w:ascii="宋体" w:hAnsi="Wingdings 2" w:cs="Times New Roman"/>
                <w:color w:val="auto"/>
                <w:highlight w:val="none"/>
              </w:rPr>
              <w:sym w:font="Wingdings" w:char="00A8"/>
            </w:r>
            <w:r>
              <w:rPr>
                <w:rFonts w:hint="eastAsia" w:ascii="宋体" w:hAnsi="宋体" w:cs="宋体"/>
                <w:color w:val="auto"/>
                <w:highlight w:val="none"/>
              </w:rPr>
              <w:t>其他要求∶</w:t>
            </w:r>
            <w:r>
              <w:rPr>
                <w:rFonts w:hint="eastAsia" w:ascii="宋体" w:hAnsi="宋体" w:cs="宋体"/>
                <w:color w:val="auto"/>
                <w:highlight w:val="none"/>
                <w:lang w:eastAsia="zh-CN"/>
              </w:rPr>
              <w:t>合同约定</w:t>
            </w:r>
          </w:p>
        </w:tc>
      </w:tr>
      <w:tr w14:paraId="0112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22" w:type="dxa"/>
            <w:vAlign w:val="center"/>
          </w:tcPr>
          <w:p w14:paraId="5EA66BF8">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7.7.4</w:t>
            </w:r>
          </w:p>
        </w:tc>
        <w:tc>
          <w:tcPr>
            <w:tcW w:w="3800" w:type="dxa"/>
            <w:vAlign w:val="center"/>
          </w:tcPr>
          <w:p w14:paraId="1ACD09F0">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签约合同价</w:t>
            </w:r>
          </w:p>
        </w:tc>
        <w:tc>
          <w:tcPr>
            <w:tcW w:w="5437" w:type="dxa"/>
            <w:vAlign w:val="center"/>
          </w:tcPr>
          <w:p w14:paraId="6A480971">
            <w:pPr>
              <w:pStyle w:val="18"/>
              <w:widowControl/>
              <w:spacing w:beforeAutospacing="0" w:afterAutospacing="0" w:line="360" w:lineRule="auto"/>
              <w:rPr>
                <w:rFonts w:ascii="宋体" w:cs="Times New Roman"/>
                <w:color w:val="auto"/>
                <w:highlight w:val="none"/>
              </w:rPr>
            </w:pPr>
            <w:r>
              <w:rPr>
                <w:rFonts w:hint="eastAsia" w:ascii="宋体" w:hAnsi="宋体" w:cs="宋体"/>
                <w:color w:val="auto"/>
                <w:highlight w:val="none"/>
              </w:rPr>
              <w:t>最终确定的中标价</w:t>
            </w:r>
          </w:p>
        </w:tc>
      </w:tr>
      <w:tr w14:paraId="79C5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1022" w:type="dxa"/>
            <w:vAlign w:val="center"/>
          </w:tcPr>
          <w:p w14:paraId="52E4DCF2">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8.1</w:t>
            </w:r>
          </w:p>
        </w:tc>
        <w:tc>
          <w:tcPr>
            <w:tcW w:w="3800" w:type="dxa"/>
            <w:vAlign w:val="center"/>
          </w:tcPr>
          <w:p w14:paraId="5A9027F9">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异议渠道</w:t>
            </w:r>
          </w:p>
        </w:tc>
        <w:tc>
          <w:tcPr>
            <w:tcW w:w="5437" w:type="dxa"/>
            <w:vAlign w:val="center"/>
          </w:tcPr>
          <w:p w14:paraId="2AA95A71">
            <w:pPr>
              <w:pStyle w:val="18"/>
              <w:widowControl/>
              <w:spacing w:beforeAutospacing="0" w:afterAutospacing="0" w:line="360" w:lineRule="auto"/>
              <w:rPr>
                <w:rFonts w:ascii="宋体" w:cs="Times New Roman"/>
                <w:color w:val="auto"/>
                <w:highlight w:val="none"/>
                <w:u w:val="single"/>
              </w:rPr>
            </w:pPr>
            <w:r>
              <w:rPr>
                <w:rFonts w:hint="eastAsia" w:ascii="宋体" w:hAnsi="宋体" w:cs="宋体"/>
                <w:color w:val="auto"/>
                <w:highlight w:val="none"/>
              </w:rPr>
              <w:t>联系人∶</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刘女士</w:t>
            </w:r>
            <w:r>
              <w:rPr>
                <w:rFonts w:ascii="宋体" w:hAnsi="宋体" w:cs="宋体"/>
                <w:color w:val="auto"/>
                <w:highlight w:val="none"/>
                <w:u w:val="single"/>
              </w:rPr>
              <w:t xml:space="preserve">                                </w:t>
            </w:r>
          </w:p>
          <w:p w14:paraId="2ED769D0">
            <w:pPr>
              <w:pStyle w:val="18"/>
              <w:widowControl/>
              <w:spacing w:beforeAutospacing="0" w:afterAutospacing="0" w:line="360" w:lineRule="auto"/>
              <w:rPr>
                <w:rFonts w:ascii="宋体" w:hAnsi="宋体" w:cs="宋体"/>
                <w:color w:val="auto"/>
                <w:highlight w:val="none"/>
                <w:u w:val="single"/>
              </w:rPr>
            </w:pPr>
            <w:r>
              <w:rPr>
                <w:rFonts w:hint="eastAsia" w:ascii="宋体" w:hAnsi="宋体" w:cs="宋体"/>
                <w:color w:val="auto"/>
                <w:highlight w:val="none"/>
              </w:rPr>
              <w:t>联系电话∶</w:t>
            </w:r>
            <w:r>
              <w:rPr>
                <w:rFonts w:ascii="宋体" w:hAnsi="宋体" w:cs="宋体"/>
                <w:color w:val="auto"/>
                <w:highlight w:val="none"/>
                <w:u w:val="single"/>
              </w:rPr>
              <w:t>0971-8166798-</w:t>
            </w:r>
            <w:r>
              <w:rPr>
                <w:rFonts w:hint="eastAsia" w:ascii="宋体" w:hAnsi="宋体" w:cs="宋体"/>
                <w:color w:val="auto"/>
                <w:highlight w:val="none"/>
                <w:u w:val="single"/>
                <w:lang w:val="en-US" w:eastAsia="zh-CN"/>
              </w:rPr>
              <w:t>8084</w:t>
            </w:r>
            <w:r>
              <w:rPr>
                <w:rFonts w:ascii="宋体" w:hAnsi="宋体" w:cs="宋体"/>
                <w:color w:val="auto"/>
                <w:highlight w:val="none"/>
                <w:u w:val="single"/>
              </w:rPr>
              <w:t xml:space="preserve">            </w:t>
            </w:r>
          </w:p>
          <w:p w14:paraId="77C539B7">
            <w:pPr>
              <w:pStyle w:val="18"/>
              <w:widowControl/>
              <w:spacing w:beforeAutospacing="0" w:afterAutospacing="0" w:line="360" w:lineRule="auto"/>
              <w:rPr>
                <w:rFonts w:ascii="宋体" w:cs="Times New Roman"/>
                <w:color w:val="auto"/>
                <w:highlight w:val="none"/>
                <w:u w:val="single"/>
              </w:rPr>
            </w:pPr>
            <w:r>
              <w:rPr>
                <w:rFonts w:hint="eastAsia" w:ascii="宋体" w:hAnsi="宋体" w:cs="宋体"/>
                <w:color w:val="auto"/>
                <w:highlight w:val="none"/>
                <w:u w:val="none"/>
                <w:lang w:eastAsia="zh-CN"/>
              </w:rPr>
              <w:t>电子邮箱：</w:t>
            </w:r>
            <w:r>
              <w:rPr>
                <w:rFonts w:hint="eastAsia" w:ascii="宋体" w:hAnsi="宋体" w:cs="宋体"/>
                <w:color w:val="auto"/>
                <w:highlight w:val="none"/>
                <w:u w:val="single"/>
                <w:lang w:eastAsia="zh-CN"/>
              </w:rPr>
              <w:t>qhrj8</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lang w:eastAsia="zh-CN"/>
              </w:rPr>
              <w:t>8</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lang w:eastAsia="zh-CN"/>
              </w:rPr>
              <w:t>@126.com</w:t>
            </w:r>
          </w:p>
          <w:p w14:paraId="58F1B348">
            <w:pPr>
              <w:pStyle w:val="18"/>
              <w:widowControl/>
              <w:spacing w:beforeAutospacing="0" w:afterAutospacing="0" w:line="360" w:lineRule="auto"/>
              <w:rPr>
                <w:rFonts w:ascii="宋体" w:cs="Times New Roman"/>
                <w:color w:val="auto"/>
                <w:highlight w:val="none"/>
                <w:u w:val="single"/>
              </w:rPr>
            </w:pPr>
            <w:r>
              <w:rPr>
                <w:rFonts w:hint="eastAsia" w:ascii="宋体" w:hAnsi="宋体" w:cs="宋体"/>
                <w:color w:val="auto"/>
                <w:highlight w:val="none"/>
              </w:rPr>
              <w:t>通信地址∶</w:t>
            </w:r>
            <w:r>
              <w:rPr>
                <w:rFonts w:hint="eastAsia" w:ascii="宋体" w:hAnsi="宋体" w:cs="宋体"/>
                <w:color w:val="auto"/>
                <w:highlight w:val="none"/>
                <w:u w:val="single"/>
              </w:rPr>
              <w:t>青海省西宁市西川南路</w:t>
            </w:r>
            <w:r>
              <w:rPr>
                <w:rFonts w:ascii="宋体" w:hAnsi="宋体" w:cs="宋体"/>
                <w:color w:val="auto"/>
                <w:highlight w:val="none"/>
                <w:u w:val="single"/>
              </w:rPr>
              <w:t>76</w:t>
            </w:r>
            <w:r>
              <w:rPr>
                <w:rFonts w:hint="eastAsia" w:ascii="宋体" w:hAnsi="宋体" w:cs="宋体"/>
                <w:color w:val="auto"/>
                <w:highlight w:val="none"/>
                <w:u w:val="single"/>
              </w:rPr>
              <w:t>号万达中心</w:t>
            </w:r>
            <w:r>
              <w:rPr>
                <w:rFonts w:ascii="宋体" w:hAnsi="宋体" w:cs="宋体"/>
                <w:color w:val="auto"/>
                <w:highlight w:val="none"/>
                <w:u w:val="single"/>
              </w:rPr>
              <w:t>1</w:t>
            </w:r>
            <w:r>
              <w:rPr>
                <w:rFonts w:hint="eastAsia" w:ascii="宋体" w:hAnsi="宋体" w:cs="宋体"/>
                <w:color w:val="auto"/>
                <w:highlight w:val="none"/>
                <w:u w:val="single"/>
              </w:rPr>
              <w:t>号写字楼</w:t>
            </w:r>
            <w:r>
              <w:rPr>
                <w:rFonts w:ascii="宋体" w:hAnsi="宋体" w:cs="宋体"/>
                <w:color w:val="auto"/>
                <w:highlight w:val="none"/>
                <w:u w:val="single"/>
              </w:rPr>
              <w:t>6</w:t>
            </w:r>
            <w:r>
              <w:rPr>
                <w:rFonts w:hint="eastAsia" w:ascii="宋体" w:hAnsi="宋体" w:cs="宋体"/>
                <w:color w:val="auto"/>
                <w:highlight w:val="none"/>
                <w:u w:val="single"/>
              </w:rPr>
              <w:t>楼</w:t>
            </w:r>
            <w:r>
              <w:rPr>
                <w:rFonts w:ascii="宋体" w:hAnsi="宋体" w:cs="宋体"/>
                <w:color w:val="auto"/>
                <w:highlight w:val="none"/>
                <w:u w:val="single"/>
              </w:rPr>
              <w:t>10608</w:t>
            </w:r>
            <w:r>
              <w:rPr>
                <w:rFonts w:hint="eastAsia" w:ascii="宋体" w:hAnsi="宋体" w:cs="宋体"/>
                <w:color w:val="auto"/>
                <w:highlight w:val="none"/>
                <w:u w:val="single"/>
              </w:rPr>
              <w:t>室</w:t>
            </w:r>
          </w:p>
          <w:p w14:paraId="06A05708">
            <w:pPr>
              <w:pStyle w:val="18"/>
              <w:widowControl/>
              <w:spacing w:beforeAutospacing="0" w:afterAutospacing="0" w:line="360" w:lineRule="auto"/>
              <w:rPr>
                <w:rFonts w:ascii="宋体" w:cs="Times New Roman"/>
                <w:color w:val="auto"/>
                <w:highlight w:val="none"/>
                <w:u w:val="single"/>
              </w:rPr>
            </w:pPr>
            <w:r>
              <w:rPr>
                <w:rFonts w:hint="eastAsia" w:ascii="宋体" w:hAnsi="宋体" w:cs="宋体"/>
                <w:color w:val="auto"/>
                <w:highlight w:val="none"/>
              </w:rPr>
              <w:t>其他∶</w:t>
            </w:r>
            <w:r>
              <w:rPr>
                <w:rFonts w:hint="eastAsia" w:ascii="宋体" w:hAnsi="宋体" w:cs="宋体"/>
                <w:color w:val="auto"/>
                <w:highlight w:val="none"/>
                <w:u w:val="single"/>
              </w:rPr>
              <w:t>递交异议材料采用书面形式，并提供授权书；</w:t>
            </w:r>
          </w:p>
        </w:tc>
      </w:tr>
      <w:tr w14:paraId="18FD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022" w:type="dxa"/>
            <w:vAlign w:val="center"/>
          </w:tcPr>
          <w:p w14:paraId="23B486C6">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8.2</w:t>
            </w:r>
          </w:p>
        </w:tc>
        <w:tc>
          <w:tcPr>
            <w:tcW w:w="3800" w:type="dxa"/>
            <w:vAlign w:val="center"/>
          </w:tcPr>
          <w:p w14:paraId="32604093">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可以调解异议争议的行业组织或</w:t>
            </w:r>
          </w:p>
          <w:p w14:paraId="206703BD">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专业咨询机构</w:t>
            </w:r>
          </w:p>
        </w:tc>
        <w:tc>
          <w:tcPr>
            <w:tcW w:w="5437" w:type="dxa"/>
            <w:vAlign w:val="center"/>
          </w:tcPr>
          <w:p w14:paraId="51C13C30">
            <w:pPr>
              <w:pStyle w:val="18"/>
              <w:widowControl/>
              <w:spacing w:beforeAutospacing="0" w:afterAutospacing="0" w:line="360" w:lineRule="auto"/>
              <w:rPr>
                <w:rFonts w:ascii="宋体" w:cs="Times New Roman"/>
                <w:color w:val="auto"/>
                <w:highlight w:val="none"/>
              </w:rPr>
            </w:pPr>
            <w:r>
              <w:rPr>
                <w:rFonts w:hint="eastAsia" w:ascii="宋体" w:hAnsi="宋体" w:cs="宋体"/>
                <w:color w:val="auto"/>
                <w:highlight w:val="none"/>
              </w:rPr>
              <w:t>响应人对询比采购文件有任何异议的均应在递交询比文件截止时间</w:t>
            </w:r>
            <w:r>
              <w:rPr>
                <w:rFonts w:ascii="宋体" w:hAnsi="宋体" w:cs="宋体"/>
                <w:color w:val="auto"/>
                <w:highlight w:val="none"/>
              </w:rPr>
              <w:t>3</w:t>
            </w:r>
            <w:r>
              <w:rPr>
                <w:rFonts w:hint="eastAsia" w:ascii="宋体" w:hAnsi="宋体" w:cs="宋体"/>
                <w:color w:val="auto"/>
                <w:highlight w:val="none"/>
              </w:rPr>
              <w:t>天前向询比采购小组提出，在规定时间内未提出异议的视为完全认同本询比采购文件的要求。</w:t>
            </w:r>
          </w:p>
        </w:tc>
      </w:tr>
      <w:tr w14:paraId="26A6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jc w:val="center"/>
        </w:trPr>
        <w:tc>
          <w:tcPr>
            <w:tcW w:w="1022" w:type="dxa"/>
            <w:vAlign w:val="center"/>
          </w:tcPr>
          <w:p w14:paraId="0908DE1F">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10.1</w:t>
            </w:r>
          </w:p>
        </w:tc>
        <w:tc>
          <w:tcPr>
            <w:tcW w:w="3800" w:type="dxa"/>
            <w:vAlign w:val="center"/>
          </w:tcPr>
          <w:p w14:paraId="2119D335">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采购代理服务费</w:t>
            </w:r>
          </w:p>
        </w:tc>
        <w:tc>
          <w:tcPr>
            <w:tcW w:w="5437" w:type="dxa"/>
            <w:vAlign w:val="center"/>
          </w:tcPr>
          <w:p w14:paraId="4F336C1A">
            <w:pPr>
              <w:pStyle w:val="18"/>
              <w:widowControl/>
              <w:spacing w:beforeAutospacing="0" w:afterAutospacing="0" w:line="360" w:lineRule="auto"/>
              <w:rPr>
                <w:rFonts w:ascii="宋体" w:cs="Times New Roman"/>
                <w:color w:val="auto"/>
                <w:highlight w:val="none"/>
              </w:rPr>
            </w:pPr>
            <w:r>
              <w:rPr>
                <w:rFonts w:hint="eastAsia" w:ascii="宋体" w:hAnsi="Wingdings 2" w:cs="Times New Roman"/>
                <w:color w:val="auto"/>
                <w:highlight w:val="none"/>
              </w:rPr>
              <w:sym w:font="Wingdings" w:char="00A8"/>
            </w:r>
            <w:r>
              <w:rPr>
                <w:rFonts w:hint="eastAsia" w:ascii="宋体" w:hAnsi="宋体" w:cs="宋体"/>
                <w:color w:val="auto"/>
                <w:highlight w:val="none"/>
              </w:rPr>
              <w:t>不要求承担</w:t>
            </w:r>
          </w:p>
          <w:p w14:paraId="5673F895">
            <w:pPr>
              <w:pStyle w:val="18"/>
              <w:widowControl/>
              <w:spacing w:beforeAutospacing="0" w:afterAutospacing="0" w:line="360" w:lineRule="auto"/>
              <w:rPr>
                <w:rFonts w:ascii="宋体" w:cs="Times New Roman"/>
                <w:color w:val="auto"/>
                <w:highlight w:val="none"/>
              </w:rPr>
            </w:pPr>
            <w:r>
              <w:rPr>
                <w:rFonts w:hint="eastAsia" w:ascii="宋体" w:hAnsi="Wingdings 2" w:cs="Times New Roman"/>
                <w:color w:val="auto"/>
                <w:highlight w:val="none"/>
              </w:rPr>
              <w:sym w:font="Wingdings" w:char="00FE"/>
            </w:r>
            <w:r>
              <w:rPr>
                <w:rFonts w:hint="eastAsia" w:ascii="宋体" w:hAnsi="宋体" w:cs="宋体"/>
                <w:color w:val="auto"/>
                <w:highlight w:val="none"/>
              </w:rPr>
              <w:t>要求承担</w:t>
            </w:r>
          </w:p>
          <w:p w14:paraId="51966FC1">
            <w:pPr>
              <w:pStyle w:val="18"/>
              <w:widowControl/>
              <w:spacing w:beforeAutospacing="0" w:afterAutospacing="0" w:line="360" w:lineRule="auto"/>
              <w:ind w:firstLine="240" w:firstLineChars="100"/>
              <w:rPr>
                <w:rFonts w:hint="default" w:ascii="宋体" w:hAnsi="宋体" w:cs="宋体"/>
                <w:color w:val="auto"/>
                <w:highlight w:val="none"/>
                <w:lang w:eastAsia="zh-CN"/>
              </w:rPr>
            </w:pPr>
            <w:r>
              <w:rPr>
                <w:rFonts w:hint="eastAsia" w:ascii="宋体" w:hAnsi="宋体" w:cs="宋体"/>
                <w:color w:val="auto"/>
                <w:highlight w:val="none"/>
              </w:rPr>
              <w:t>收取对象：</w:t>
            </w:r>
            <w:r>
              <w:rPr>
                <w:rFonts w:hint="eastAsia" w:ascii="宋体" w:hAnsi="宋体" w:cs="宋体"/>
                <w:color w:val="auto"/>
                <w:highlight w:val="none"/>
                <w:lang w:eastAsia="zh-CN"/>
              </w:rPr>
              <w:t>成交人</w:t>
            </w:r>
          </w:p>
          <w:p w14:paraId="3A00B33A">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textAlignment w:val="auto"/>
              <w:rPr>
                <w:rFonts w:hint="default" w:ascii="宋体" w:hAnsi="宋体" w:cs="宋体"/>
                <w:color w:val="auto"/>
                <w:highlight w:val="none"/>
                <w:lang w:eastAsia="zh-CN"/>
              </w:rPr>
            </w:pPr>
            <w:r>
              <w:rPr>
                <w:rFonts w:hint="eastAsia" w:ascii="宋体" w:hAnsi="宋体" w:cs="宋体"/>
                <w:color w:val="auto"/>
                <w:highlight w:val="none"/>
                <w:lang w:val="en-US" w:eastAsia="zh-CN"/>
              </w:rPr>
              <w:t>1.1</w:t>
            </w:r>
            <w:r>
              <w:rPr>
                <w:rFonts w:hint="eastAsia" w:ascii="宋体" w:hAnsi="宋体" w:cs="宋体"/>
                <w:color w:val="auto"/>
                <w:highlight w:val="none"/>
                <w:lang w:eastAsia="zh-CN"/>
              </w:rPr>
              <w:t>根据《国家发展改革委关于进一步放开建设项目专业服务价格的通知》（发改价格[2015]299号）规定，实行市场调节价，应严格遵守《价格法》、《明码标价和禁止价格欺诈规定》等法律法规的规定，由采购人和采购代理机构共同确定合理的收费金额</w:t>
            </w:r>
            <w:r>
              <w:rPr>
                <w:rFonts w:hint="default" w:ascii="宋体" w:hAnsi="宋体" w:cs="宋体"/>
                <w:color w:val="auto"/>
                <w:highlight w:val="none"/>
                <w:lang w:eastAsia="zh-CN"/>
              </w:rPr>
              <w:t>。</w:t>
            </w:r>
          </w:p>
          <w:p w14:paraId="07539213">
            <w:pPr>
              <w:pStyle w:val="18"/>
              <w:widowControl/>
              <w:numPr>
                <w:ilvl w:val="0"/>
                <w:numId w:val="0"/>
              </w:numPr>
              <w:spacing w:beforeAutospacing="0" w:afterAutospacing="0" w:line="360" w:lineRule="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 xml:space="preserve">1.2 </w:t>
            </w:r>
            <w:r>
              <w:rPr>
                <w:rFonts w:hint="eastAsia" w:ascii="宋体" w:hAnsi="宋体" w:cs="宋体"/>
                <w:b w:val="0"/>
                <w:bCs w:val="0"/>
                <w:color w:val="auto"/>
                <w:highlight w:val="none"/>
                <w:lang w:val="en-US" w:eastAsia="zh-CN"/>
              </w:rPr>
              <w:t>本项目招标代理服务费8000.00元整，按照此条实施。</w:t>
            </w:r>
          </w:p>
          <w:p w14:paraId="794E7736">
            <w:pPr>
              <w:pStyle w:val="18"/>
              <w:widowControl/>
              <w:numPr>
                <w:ilvl w:val="0"/>
                <w:numId w:val="0"/>
              </w:numPr>
              <w:spacing w:beforeAutospacing="0" w:afterAutospacing="0" w:line="360" w:lineRule="auto"/>
              <w:rPr>
                <w:rFonts w:ascii="宋体" w:cs="Times New Roman"/>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交费时间∶自领取成交通知书前一次性支付全部金额；</w:t>
            </w:r>
          </w:p>
          <w:p w14:paraId="54E2B2D6">
            <w:pPr>
              <w:pStyle w:val="18"/>
              <w:widowControl/>
              <w:spacing w:beforeAutospacing="0" w:afterAutospacing="0" w:line="360" w:lineRule="auto"/>
              <w:rPr>
                <w:rFonts w:ascii="宋体" w:cs="Times New Roman"/>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交费方式∶转账或其他；</w:t>
            </w:r>
          </w:p>
        </w:tc>
      </w:tr>
      <w:tr w14:paraId="2407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jc w:val="center"/>
        </w:trPr>
        <w:tc>
          <w:tcPr>
            <w:tcW w:w="1022" w:type="dxa"/>
            <w:vAlign w:val="center"/>
          </w:tcPr>
          <w:p w14:paraId="2D4B9A33">
            <w:pPr>
              <w:pStyle w:val="18"/>
              <w:widowControl/>
              <w:spacing w:beforeAutospacing="0" w:afterAutospacing="0" w:line="360" w:lineRule="auto"/>
              <w:jc w:val="center"/>
              <w:rPr>
                <w:rFonts w:ascii="宋体" w:cs="Times New Roman"/>
                <w:color w:val="auto"/>
                <w:highlight w:val="none"/>
              </w:rPr>
            </w:pPr>
            <w:r>
              <w:rPr>
                <w:rFonts w:ascii="宋体" w:hAnsi="宋体" w:cs="宋体"/>
                <w:color w:val="auto"/>
                <w:highlight w:val="none"/>
              </w:rPr>
              <w:t>10.2</w:t>
            </w:r>
          </w:p>
        </w:tc>
        <w:tc>
          <w:tcPr>
            <w:tcW w:w="3800" w:type="dxa"/>
            <w:vAlign w:val="center"/>
          </w:tcPr>
          <w:p w14:paraId="7B9916D5">
            <w:pPr>
              <w:pStyle w:val="18"/>
              <w:widowControl/>
              <w:spacing w:beforeAutospacing="0" w:afterAutospacing="0" w:line="360" w:lineRule="auto"/>
              <w:jc w:val="center"/>
              <w:rPr>
                <w:rFonts w:ascii="宋体" w:cs="Times New Roman"/>
                <w:color w:val="auto"/>
                <w:highlight w:val="none"/>
              </w:rPr>
            </w:pPr>
            <w:r>
              <w:rPr>
                <w:rFonts w:hint="eastAsia" w:ascii="宋体" w:hAnsi="宋体" w:cs="宋体"/>
                <w:color w:val="auto"/>
                <w:highlight w:val="none"/>
              </w:rPr>
              <w:t>需要补充的其他内容</w:t>
            </w:r>
          </w:p>
        </w:tc>
        <w:tc>
          <w:tcPr>
            <w:tcW w:w="5437" w:type="dxa"/>
            <w:vAlign w:val="center"/>
          </w:tcPr>
          <w:p w14:paraId="419C9E11">
            <w:pPr>
              <w:pStyle w:val="18"/>
              <w:widowControl/>
              <w:spacing w:beforeAutospacing="0" w:afterAutospacing="0" w:line="360" w:lineRule="auto"/>
              <w:rPr>
                <w:rFonts w:ascii="宋体" w:cs="Times New Roman"/>
                <w:color w:val="auto"/>
                <w:highlight w:val="none"/>
              </w:rPr>
            </w:pPr>
            <w:r>
              <w:rPr>
                <w:rFonts w:hint="eastAsia" w:ascii="宋体" w:hAnsi="宋体" w:cs="宋体"/>
                <w:color w:val="auto"/>
                <w:highlight w:val="none"/>
              </w:rPr>
              <w:t>根据青海省发展和改革委员会青海省招标投标协会二零一九年三月青海省非招标方式招标采购代理规范的规定结合本次招标项目的实际情况，询比采购小组由招标单位的代表和评审专家共</w:t>
            </w:r>
            <w:r>
              <w:rPr>
                <w:rFonts w:ascii="宋体" w:hAnsi="宋体" w:cs="宋体"/>
                <w:color w:val="auto"/>
                <w:highlight w:val="none"/>
              </w:rPr>
              <w:t>3</w:t>
            </w:r>
            <w:r>
              <w:rPr>
                <w:rFonts w:hint="eastAsia" w:ascii="宋体" w:hAnsi="宋体" w:cs="宋体"/>
                <w:color w:val="auto"/>
                <w:highlight w:val="none"/>
              </w:rPr>
              <w:t>人以上的单数组成，其中专家人数不得少于询比采购小组成员总数的三分之二，负责本次招标项目的询比采购和评审工作。</w:t>
            </w:r>
          </w:p>
        </w:tc>
      </w:tr>
      <w:tr w14:paraId="1131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022" w:type="dxa"/>
            <w:vAlign w:val="center"/>
          </w:tcPr>
          <w:p w14:paraId="0542CD96">
            <w:pPr>
              <w:pStyle w:val="18"/>
              <w:widowControl/>
              <w:spacing w:beforeAutospacing="0" w:afterAutospacing="0"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10.3</w:t>
            </w:r>
          </w:p>
        </w:tc>
        <w:tc>
          <w:tcPr>
            <w:tcW w:w="3800" w:type="dxa"/>
            <w:vAlign w:val="center"/>
          </w:tcPr>
          <w:p w14:paraId="3C40290B">
            <w:pPr>
              <w:pStyle w:val="18"/>
              <w:widowControl/>
              <w:spacing w:beforeAutospacing="0" w:afterAutospacing="0" w:line="360" w:lineRule="auto"/>
              <w:jc w:val="center"/>
              <w:rPr>
                <w:rFonts w:hint="eastAsia" w:ascii="宋体" w:hAnsi="宋体" w:cs="宋体"/>
                <w:color w:val="auto"/>
                <w:highlight w:val="none"/>
              </w:rPr>
            </w:pPr>
            <w:r>
              <w:rPr>
                <w:rFonts w:ascii="Times New Roman" w:hAnsi="Times New Roman" w:eastAsia="宋体" w:cs="Times New Roman"/>
                <w:color w:val="auto"/>
                <w:kern w:val="0"/>
                <w:sz w:val="24"/>
                <w:szCs w:val="21"/>
              </w:rPr>
              <w:t>风险抵押金</w:t>
            </w:r>
            <w:r>
              <w:rPr>
                <w:rFonts w:ascii="Times New Roman" w:hAnsi="Times New Roman" w:eastAsia="宋体" w:cs="Times New Roman"/>
                <w:color w:val="auto"/>
                <w:kern w:val="0"/>
                <w:sz w:val="24"/>
                <w:lang w:val="zh-CN"/>
              </w:rPr>
              <w:t>要求</w:t>
            </w:r>
          </w:p>
        </w:tc>
        <w:tc>
          <w:tcPr>
            <w:tcW w:w="5437" w:type="dxa"/>
            <w:vAlign w:val="center"/>
          </w:tcPr>
          <w:p w14:paraId="220A56BB">
            <w:pPr>
              <w:autoSpaceDE w:val="0"/>
              <w:autoSpaceDN w:val="0"/>
              <w:adjustRightInd w:val="0"/>
              <w:spacing w:line="580" w:lineRule="exact"/>
              <w:jc w:val="left"/>
              <w:rPr>
                <w:rFonts w:hint="eastAsia" w:ascii="宋体" w:hAnsi="宋体" w:cs="宋体"/>
                <w:color w:val="auto"/>
                <w:highlight w:val="none"/>
              </w:rPr>
            </w:pPr>
            <w:r>
              <w:rPr>
                <w:rFonts w:hint="eastAsia" w:ascii="宋体" w:hAnsi="宋体" w:eastAsia="宋体" w:cs="宋体"/>
                <w:color w:val="auto"/>
                <w:kern w:val="0"/>
                <w:sz w:val="24"/>
                <w:szCs w:val="24"/>
                <w:highlight w:val="none"/>
                <w:lang w:val="en-US" w:eastAsia="zh-CN" w:bidi="ar-SA"/>
              </w:rPr>
              <w:t>本合同签订前乙方向甲方一次性交付风险抵押金¥ 300，000元，叁拾万元整。</w:t>
            </w:r>
          </w:p>
        </w:tc>
      </w:tr>
    </w:tbl>
    <w:p w14:paraId="6506763F">
      <w:pPr>
        <w:spacing w:line="360" w:lineRule="auto"/>
        <w:rPr>
          <w:rFonts w:ascii="宋体" w:cs="Times New Roman"/>
          <w:color w:val="auto"/>
          <w:sz w:val="28"/>
          <w:szCs w:val="28"/>
          <w:highlight w:val="none"/>
        </w:rPr>
      </w:pPr>
      <w:r>
        <w:rPr>
          <w:rFonts w:ascii="宋体" w:cs="Times New Roman"/>
          <w:color w:val="auto"/>
          <w:sz w:val="28"/>
          <w:szCs w:val="28"/>
          <w:highlight w:val="none"/>
        </w:rPr>
        <w:br w:type="page"/>
      </w:r>
    </w:p>
    <w:p w14:paraId="2986A13D">
      <w:pPr>
        <w:pStyle w:val="3"/>
        <w:rPr>
          <w:rFonts w:ascii="宋体" w:cs="Times New Roman"/>
          <w:color w:val="auto"/>
          <w:highlight w:val="none"/>
        </w:rPr>
      </w:pPr>
      <w:bookmarkStart w:id="33" w:name="_Toc31769"/>
      <w:r>
        <w:rPr>
          <w:rFonts w:ascii="宋体" w:hAnsi="宋体" w:cs="宋体"/>
          <w:color w:val="auto"/>
          <w:highlight w:val="none"/>
        </w:rPr>
        <w:t xml:space="preserve">1 </w:t>
      </w:r>
      <w:r>
        <w:rPr>
          <w:rFonts w:hint="eastAsia" w:ascii="宋体" w:hAnsi="宋体" w:cs="宋体"/>
          <w:color w:val="auto"/>
          <w:highlight w:val="none"/>
        </w:rPr>
        <w:t>总则</w:t>
      </w:r>
      <w:bookmarkEnd w:id="33"/>
    </w:p>
    <w:p w14:paraId="0C7ACCC6">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1.1 </w:t>
      </w:r>
      <w:r>
        <w:rPr>
          <w:rFonts w:hint="eastAsia" w:ascii="宋体" w:hAnsi="宋体" w:cs="宋体"/>
          <w:color w:val="auto"/>
          <w:highlight w:val="none"/>
        </w:rPr>
        <w:t>采购方式</w:t>
      </w:r>
    </w:p>
    <w:p w14:paraId="4E2B8946">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本项目采用中国招标投标协会发布的《非招标方式采购代理服务规范》（</w:t>
      </w:r>
      <w:r>
        <w:rPr>
          <w:rFonts w:ascii="宋体" w:hAnsi="宋体" w:cs="宋体"/>
          <w:color w:val="auto"/>
          <w:highlight w:val="none"/>
        </w:rPr>
        <w:t>T/CTBA 001—2019</w:t>
      </w:r>
      <w:r>
        <w:rPr>
          <w:rFonts w:hint="eastAsia" w:ascii="宋体" w:hAnsi="宋体" w:cs="宋体"/>
          <w:color w:val="auto"/>
          <w:highlight w:val="none"/>
        </w:rPr>
        <w:t>）规定的询比采购方式。</w:t>
      </w:r>
    </w:p>
    <w:p w14:paraId="21BB3406">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询比采购是指采购人组建评审小组对响应采购的询比响应人按照采购文件规定的规则和时间一次递交的响应文件进行评审，采购人根据评审小组的评审结果，选择确定成交询比响应人的采购方式。</w:t>
      </w:r>
    </w:p>
    <w:p w14:paraId="6CD66BF8">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1.2 </w:t>
      </w:r>
      <w:r>
        <w:rPr>
          <w:rFonts w:hint="eastAsia" w:ascii="宋体" w:hAnsi="宋体" w:cs="宋体"/>
          <w:color w:val="auto"/>
          <w:highlight w:val="none"/>
        </w:rPr>
        <w:t>采购项目概况和询比响应人资格要求</w:t>
      </w:r>
    </w:p>
    <w:p w14:paraId="101E38E0">
      <w:pPr>
        <w:pStyle w:val="18"/>
        <w:widowControl/>
        <w:spacing w:beforeAutospacing="0" w:afterAutospacing="0" w:line="360" w:lineRule="auto"/>
        <w:ind w:firstLine="456" w:firstLineChars="200"/>
        <w:rPr>
          <w:rFonts w:ascii="宋体" w:cs="Times New Roman"/>
          <w:color w:val="auto"/>
          <w:spacing w:val="-6"/>
          <w:highlight w:val="none"/>
        </w:rPr>
      </w:pPr>
      <w:r>
        <w:rPr>
          <w:rFonts w:hint="eastAsia" w:ascii="宋体" w:hAnsi="宋体" w:cs="宋体"/>
          <w:color w:val="auto"/>
          <w:spacing w:val="-6"/>
          <w:highlight w:val="none"/>
        </w:rPr>
        <w:t>采购项目概况和询比响应人资格要求见第一章</w:t>
      </w:r>
      <w:r>
        <w:rPr>
          <w:rFonts w:ascii="宋体" w:hAnsi="宋体" w:cs="宋体"/>
          <w:color w:val="auto"/>
          <w:spacing w:val="-6"/>
          <w:highlight w:val="none"/>
        </w:rPr>
        <w:t>"</w:t>
      </w:r>
      <w:r>
        <w:rPr>
          <w:rFonts w:hint="eastAsia" w:ascii="宋体" w:hAnsi="宋体" w:cs="宋体"/>
          <w:color w:val="auto"/>
          <w:spacing w:val="-6"/>
          <w:highlight w:val="none"/>
        </w:rPr>
        <w:t>询比采购公告</w:t>
      </w:r>
      <w:r>
        <w:rPr>
          <w:rFonts w:ascii="宋体" w:hAnsi="宋体" w:cs="宋体"/>
          <w:color w:val="auto"/>
          <w:spacing w:val="-6"/>
          <w:highlight w:val="none"/>
        </w:rPr>
        <w:t>/</w:t>
      </w:r>
      <w:r>
        <w:rPr>
          <w:rFonts w:hint="eastAsia" w:ascii="宋体" w:hAnsi="宋体" w:cs="宋体"/>
          <w:color w:val="auto"/>
          <w:spacing w:val="-6"/>
          <w:highlight w:val="none"/>
        </w:rPr>
        <w:t>询比采购邀请书</w:t>
      </w:r>
      <w:r>
        <w:rPr>
          <w:rFonts w:ascii="宋体" w:hAnsi="宋体" w:cs="宋体"/>
          <w:color w:val="auto"/>
          <w:spacing w:val="-6"/>
          <w:highlight w:val="none"/>
        </w:rPr>
        <w:t>"</w:t>
      </w:r>
      <w:r>
        <w:rPr>
          <w:rFonts w:hint="eastAsia" w:ascii="宋体" w:hAnsi="宋体" w:cs="宋体"/>
          <w:color w:val="auto"/>
          <w:spacing w:val="-6"/>
          <w:highlight w:val="none"/>
        </w:rPr>
        <w:t>。</w:t>
      </w:r>
    </w:p>
    <w:p w14:paraId="63EEA516">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1.3 </w:t>
      </w:r>
      <w:r>
        <w:rPr>
          <w:rFonts w:hint="eastAsia" w:ascii="宋体" w:hAnsi="宋体" w:cs="宋体"/>
          <w:color w:val="auto"/>
          <w:highlight w:val="none"/>
        </w:rPr>
        <w:t>费用承担</w:t>
      </w:r>
    </w:p>
    <w:p w14:paraId="23285082">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询比响应人准备和参加询比采购活动所发生的各种费用由询比响应人自行承担。</w:t>
      </w:r>
    </w:p>
    <w:p w14:paraId="65A68724">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1.4 </w:t>
      </w:r>
      <w:r>
        <w:rPr>
          <w:rFonts w:hint="eastAsia" w:ascii="宋体" w:hAnsi="宋体" w:cs="宋体"/>
          <w:color w:val="auto"/>
          <w:highlight w:val="none"/>
        </w:rPr>
        <w:t>保密</w:t>
      </w:r>
    </w:p>
    <w:p w14:paraId="5855C3E8">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参加询比采购活动的各方应对采购文件和响应文件中的商业和技术等秘密保密，否则应承担相应的法律责任。</w:t>
      </w:r>
    </w:p>
    <w:p w14:paraId="166169BF">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1.5 </w:t>
      </w:r>
      <w:r>
        <w:rPr>
          <w:rFonts w:hint="eastAsia" w:ascii="宋体" w:hAnsi="宋体" w:cs="宋体"/>
          <w:color w:val="auto"/>
          <w:highlight w:val="none"/>
        </w:rPr>
        <w:t>语言文字</w:t>
      </w:r>
    </w:p>
    <w:p w14:paraId="67BA288E">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采购文件和响应文件使用的语言文字为中文。专用术语使用外文的，应附有中文注释。</w:t>
      </w:r>
    </w:p>
    <w:p w14:paraId="3032AB52">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1.6 </w:t>
      </w:r>
      <w:r>
        <w:rPr>
          <w:rFonts w:hint="eastAsia" w:ascii="宋体" w:hAnsi="宋体" w:cs="宋体"/>
          <w:color w:val="auto"/>
          <w:highlight w:val="none"/>
        </w:rPr>
        <w:t>计量单位</w:t>
      </w:r>
    </w:p>
    <w:p w14:paraId="780B937B">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所有计量均采用中华人民共和国法定计量单位。</w:t>
      </w:r>
    </w:p>
    <w:p w14:paraId="17F5680B">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1.7 </w:t>
      </w:r>
      <w:r>
        <w:rPr>
          <w:rFonts w:hint="eastAsia" w:ascii="宋体" w:hAnsi="宋体" w:cs="宋体"/>
          <w:color w:val="auto"/>
          <w:highlight w:val="none"/>
        </w:rPr>
        <w:t>踏勘现场</w:t>
      </w:r>
    </w:p>
    <w:p w14:paraId="3E19C3B9">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1.7.1 </w:t>
      </w:r>
      <w:r>
        <w:rPr>
          <w:rFonts w:hint="eastAsia" w:ascii="宋体" w:hAnsi="宋体" w:cs="宋体"/>
          <w:color w:val="auto"/>
          <w:highlight w:val="none"/>
        </w:rPr>
        <w:t>询比响应人须知前附表规定组织踏勘现场的，采购人按询比响应人须知前附表规定的时间、地点组织询比响应人踏勘项目现场。部分询比响应人未按时参加踏勘现场的，不影响踏勘现场的正常进行。</w:t>
      </w:r>
    </w:p>
    <w:p w14:paraId="0A00BAA1">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1.7.2 </w:t>
      </w:r>
      <w:r>
        <w:rPr>
          <w:rFonts w:hint="eastAsia" w:ascii="宋体" w:hAnsi="宋体" w:cs="宋体"/>
          <w:color w:val="auto"/>
          <w:highlight w:val="none"/>
        </w:rPr>
        <w:t>询比响应人可自愿参加踏勘现场活动。除采购人的原因外，采购人对询比响应人参加踏勘现场中所发生的人员伤亡和财产损失不承担责任。</w:t>
      </w:r>
    </w:p>
    <w:p w14:paraId="2F11E25E">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1.7.3 </w:t>
      </w:r>
      <w:r>
        <w:rPr>
          <w:rFonts w:hint="eastAsia" w:ascii="宋体" w:hAnsi="宋体" w:cs="宋体"/>
          <w:color w:val="auto"/>
          <w:highlight w:val="none"/>
        </w:rPr>
        <w:t>采购人在踏勘现场中介绍的工程场地和相关的周边环境情况，仅作为询比响应人编制响应文件的参考，采购人不对询比响应人据此作出的判断和决策负责。</w:t>
      </w:r>
    </w:p>
    <w:p w14:paraId="6A9CF605">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1.8</w:t>
      </w:r>
      <w:r>
        <w:rPr>
          <w:rFonts w:hint="eastAsia" w:ascii="宋体" w:hAnsi="宋体" w:cs="宋体"/>
          <w:color w:val="auto"/>
          <w:highlight w:val="none"/>
        </w:rPr>
        <w:t>询比采购预备会</w:t>
      </w:r>
    </w:p>
    <w:p w14:paraId="5CE11363">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询比响应人须知前附表规定召开询比采购预备会的，采购人按询比响应人须知前附表规定的时间和地点召开询比采购预备会。</w:t>
      </w:r>
    </w:p>
    <w:p w14:paraId="7A9E09A4">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1.9</w:t>
      </w:r>
      <w:r>
        <w:rPr>
          <w:rFonts w:hint="eastAsia" w:ascii="宋体" w:hAnsi="宋体" w:cs="宋体"/>
          <w:color w:val="auto"/>
          <w:highlight w:val="none"/>
        </w:rPr>
        <w:t>分包（</w:t>
      </w:r>
      <w:r>
        <w:rPr>
          <w:rFonts w:ascii="宋体" w:hAnsi="宋体" w:cs="宋体"/>
          <w:color w:val="auto"/>
          <w:highlight w:val="none"/>
        </w:rPr>
        <w:t>A</w:t>
      </w:r>
      <w:r>
        <w:rPr>
          <w:rFonts w:hint="eastAsia" w:ascii="宋体" w:hAnsi="宋体" w:cs="宋体"/>
          <w:color w:val="auto"/>
          <w:highlight w:val="none"/>
        </w:rPr>
        <w:t>、</w:t>
      </w:r>
      <w:r>
        <w:rPr>
          <w:rFonts w:ascii="宋体" w:hAnsi="宋体" w:cs="宋体"/>
          <w:color w:val="auto"/>
          <w:highlight w:val="none"/>
        </w:rPr>
        <w:t>C</w:t>
      </w:r>
      <w:r>
        <w:rPr>
          <w:rFonts w:hint="eastAsia" w:ascii="宋体" w:hAnsi="宋体" w:cs="宋体"/>
          <w:color w:val="auto"/>
          <w:highlight w:val="none"/>
        </w:rPr>
        <w:t>）</w:t>
      </w:r>
    </w:p>
    <w:p w14:paraId="4F596745">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询比响应人拟在成交后将成交项目的部分工作进行分包的，应符合询比响应人须知前附表的规定，并在响应文件中作出说明。</w:t>
      </w:r>
    </w:p>
    <w:p w14:paraId="69E3940D">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分包询比响应人不得将分包项目再次分包。成交询比响应人应当就分包项目向采购人负责，分包询比响应人就分包项目承担连带责任。</w:t>
      </w:r>
    </w:p>
    <w:p w14:paraId="040070D7">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1.9 </w:t>
      </w:r>
      <w:r>
        <w:rPr>
          <w:rFonts w:hint="eastAsia" w:ascii="宋体" w:hAnsi="宋体" w:cs="宋体"/>
          <w:color w:val="auto"/>
          <w:highlight w:val="none"/>
        </w:rPr>
        <w:t>主要材料和关键部件外购（</w:t>
      </w:r>
      <w:r>
        <w:rPr>
          <w:rFonts w:ascii="宋体" w:hAnsi="宋体" w:cs="宋体"/>
          <w:color w:val="auto"/>
          <w:highlight w:val="none"/>
        </w:rPr>
        <w:t>B</w:t>
      </w:r>
      <w:r>
        <w:rPr>
          <w:rFonts w:hint="eastAsia" w:ascii="宋体" w:hAnsi="宋体" w:cs="宋体"/>
          <w:color w:val="auto"/>
          <w:highlight w:val="none"/>
        </w:rPr>
        <w:t>）</w:t>
      </w:r>
    </w:p>
    <w:p w14:paraId="07EF872C">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询比响应人拟对主要材料和关键部件进行外购的，应符合第五章</w:t>
      </w:r>
      <w:r>
        <w:rPr>
          <w:rFonts w:ascii="宋体" w:hAnsi="宋体" w:cs="宋体"/>
          <w:color w:val="auto"/>
          <w:highlight w:val="none"/>
        </w:rPr>
        <w:t>"</w:t>
      </w:r>
      <w:r>
        <w:rPr>
          <w:rFonts w:hint="eastAsia" w:ascii="宋体" w:hAnsi="宋体" w:cs="宋体"/>
          <w:color w:val="auto"/>
          <w:highlight w:val="none"/>
        </w:rPr>
        <w:t>采购需求</w:t>
      </w:r>
      <w:r>
        <w:rPr>
          <w:rFonts w:ascii="宋体" w:hAnsi="宋体" w:cs="宋体"/>
          <w:color w:val="auto"/>
          <w:highlight w:val="none"/>
        </w:rPr>
        <w:t>"</w:t>
      </w:r>
      <w:r>
        <w:rPr>
          <w:rFonts w:hint="eastAsia" w:ascii="宋体" w:hAnsi="宋体" w:cs="宋体"/>
          <w:color w:val="auto"/>
          <w:highlight w:val="none"/>
        </w:rPr>
        <w:t>中提出的或允许外购的相关规定，并在响应文件中作出说明。</w:t>
      </w:r>
    </w:p>
    <w:p w14:paraId="076332B0">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1.10 </w:t>
      </w:r>
      <w:r>
        <w:rPr>
          <w:rFonts w:hint="eastAsia" w:ascii="宋体" w:hAnsi="宋体" w:cs="宋体"/>
          <w:color w:val="auto"/>
          <w:highlight w:val="none"/>
        </w:rPr>
        <w:t>响应和偏差</w:t>
      </w:r>
    </w:p>
    <w:p w14:paraId="3B21EB2F">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1.10.1 </w:t>
      </w:r>
      <w:r>
        <w:rPr>
          <w:rFonts w:hint="eastAsia" w:ascii="宋体" w:hAnsi="宋体" w:cs="宋体"/>
          <w:color w:val="auto"/>
          <w:highlight w:val="none"/>
        </w:rPr>
        <w:t>采购需求和合同草案中的关键条款均以</w:t>
      </w:r>
      <w:r>
        <w:rPr>
          <w:rFonts w:ascii="宋体" w:hAnsi="宋体" w:cs="宋体"/>
          <w:color w:val="auto"/>
          <w:highlight w:val="none"/>
        </w:rPr>
        <w:t>"*"</w:t>
      </w:r>
      <w:r>
        <w:rPr>
          <w:rFonts w:hint="eastAsia" w:ascii="宋体" w:hAnsi="宋体" w:cs="宋体"/>
          <w:color w:val="auto"/>
          <w:highlight w:val="none"/>
        </w:rPr>
        <w:t>符号标记。响应文件应当对采购需求和合同草案中的关键条款作出满足性或更有利于采购人的响应，否则，询比响应人的响应文件将被视为无效。</w:t>
      </w:r>
    </w:p>
    <w:p w14:paraId="7CEA576D">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1.10.2</w:t>
      </w:r>
      <w:r>
        <w:rPr>
          <w:rFonts w:hint="eastAsia" w:ascii="宋体" w:hAnsi="宋体" w:cs="宋体"/>
          <w:color w:val="auto"/>
          <w:highlight w:val="none"/>
        </w:rPr>
        <w:t>询比响应人须知前附表规定了对非关键条款允许偏差的范围和可以偏差的项数的，如响应文件存在的偏差超出上述范围或项数，将被视为无效。</w:t>
      </w:r>
    </w:p>
    <w:p w14:paraId="30E2ACDF">
      <w:pPr>
        <w:pStyle w:val="3"/>
        <w:rPr>
          <w:rFonts w:ascii="宋体" w:cs="Times New Roman"/>
          <w:color w:val="auto"/>
          <w:highlight w:val="none"/>
        </w:rPr>
      </w:pPr>
      <w:bookmarkStart w:id="34" w:name="_Toc13342"/>
      <w:r>
        <w:rPr>
          <w:rFonts w:ascii="宋体" w:hAnsi="宋体" w:cs="宋体"/>
          <w:color w:val="auto"/>
          <w:highlight w:val="none"/>
        </w:rPr>
        <w:t>2</w:t>
      </w:r>
      <w:r>
        <w:rPr>
          <w:rFonts w:hint="eastAsia" w:ascii="宋体" w:hAnsi="宋体" w:cs="宋体"/>
          <w:color w:val="auto"/>
          <w:highlight w:val="none"/>
        </w:rPr>
        <w:t>采购文件</w:t>
      </w:r>
      <w:bookmarkEnd w:id="34"/>
    </w:p>
    <w:p w14:paraId="2D512B4A">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2.1 </w:t>
      </w:r>
      <w:r>
        <w:rPr>
          <w:rFonts w:hint="eastAsia" w:ascii="宋体" w:hAnsi="宋体" w:cs="宋体"/>
          <w:color w:val="auto"/>
          <w:highlight w:val="none"/>
        </w:rPr>
        <w:t>采购文件的组成</w:t>
      </w:r>
    </w:p>
    <w:p w14:paraId="5A4E2570">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本采购文件包括∶</w:t>
      </w:r>
    </w:p>
    <w:p w14:paraId="512C4318">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）询比采购公告（或询比采购邀请书）</w:t>
      </w:r>
      <w:r>
        <w:rPr>
          <w:rFonts w:ascii="宋体" w:hAnsi="宋体" w:cs="宋体"/>
          <w:color w:val="auto"/>
          <w:highlight w:val="none"/>
        </w:rPr>
        <w:t>;</w:t>
      </w:r>
    </w:p>
    <w:p w14:paraId="2CDBD3B6">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）询比响应人须知</w:t>
      </w:r>
      <w:r>
        <w:rPr>
          <w:rFonts w:ascii="宋体" w:hAnsi="宋体" w:cs="宋体"/>
          <w:color w:val="auto"/>
          <w:highlight w:val="none"/>
        </w:rPr>
        <w:t>;</w:t>
      </w:r>
    </w:p>
    <w:p w14:paraId="545EC411">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）评审办法</w:t>
      </w:r>
      <w:r>
        <w:rPr>
          <w:rFonts w:ascii="宋体" w:hAnsi="宋体" w:cs="宋体"/>
          <w:color w:val="auto"/>
          <w:highlight w:val="none"/>
        </w:rPr>
        <w:t>;</w:t>
      </w:r>
    </w:p>
    <w:p w14:paraId="5F120E41">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）合同条款及格式</w:t>
      </w:r>
      <w:r>
        <w:rPr>
          <w:rFonts w:ascii="宋体" w:hAnsi="宋体" w:cs="宋体"/>
          <w:color w:val="auto"/>
          <w:highlight w:val="none"/>
        </w:rPr>
        <w:t>;</w:t>
      </w:r>
    </w:p>
    <w:p w14:paraId="3140BC27">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）采购需求</w:t>
      </w:r>
      <w:r>
        <w:rPr>
          <w:rFonts w:ascii="宋体" w:hAnsi="宋体" w:cs="宋体"/>
          <w:color w:val="auto"/>
          <w:highlight w:val="none"/>
        </w:rPr>
        <w:t>;</w:t>
      </w:r>
    </w:p>
    <w:p w14:paraId="56EE4D29">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）响应文件格式</w:t>
      </w:r>
      <w:r>
        <w:rPr>
          <w:rFonts w:ascii="宋体" w:hAnsi="宋体" w:cs="宋体"/>
          <w:color w:val="auto"/>
          <w:highlight w:val="none"/>
        </w:rPr>
        <w:t>;</w:t>
      </w:r>
    </w:p>
    <w:p w14:paraId="63685C1C">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）询比响应人须知前附表规定的其他资料。</w:t>
      </w:r>
    </w:p>
    <w:p w14:paraId="64DAAFA3">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采购人依照本章规定，对采购文件所作的澄清、修改，构成采购文件的组成部分。</w:t>
      </w:r>
    </w:p>
    <w:p w14:paraId="51CDF539">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2.2 </w:t>
      </w:r>
      <w:r>
        <w:rPr>
          <w:rFonts w:hint="eastAsia" w:ascii="宋体" w:hAnsi="宋体" w:cs="宋体"/>
          <w:color w:val="auto"/>
          <w:highlight w:val="none"/>
        </w:rPr>
        <w:t>采购文件的澄清和修改</w:t>
      </w:r>
    </w:p>
    <w:p w14:paraId="16C1C31E">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2.2.1 </w:t>
      </w:r>
      <w:r>
        <w:rPr>
          <w:rFonts w:hint="eastAsia" w:ascii="宋体" w:hAnsi="宋体" w:cs="宋体"/>
          <w:color w:val="auto"/>
          <w:highlight w:val="none"/>
        </w:rPr>
        <w:t>询比响应人应仔细阅读和检查采购文件的全部内容。如发现缺页或内容不全，应及时向采购人提出，以便补齐。如有疑问，应在询比响应人须知前附表规定的时间前，以书面形式要求采购人对采购文件予以澄清。</w:t>
      </w:r>
    </w:p>
    <w:p w14:paraId="623A6180">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2.2.2 </w:t>
      </w:r>
      <w:r>
        <w:rPr>
          <w:rFonts w:hint="eastAsia" w:ascii="宋体" w:hAnsi="宋体" w:cs="宋体"/>
          <w:color w:val="auto"/>
          <w:highlight w:val="none"/>
        </w:rPr>
        <w:t>采购人可根据询比响应人的要求或主动对采购文件进行澄清或修改。澄清或修改的内容以补充文件的形式发给所有获取采购文件的询比响应人。采购人可视具体情况在补充文件中通知询比响应人推迟递交响应文件的截止时间。</w:t>
      </w:r>
    </w:p>
    <w:p w14:paraId="21484EF5">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2.2.3 </w:t>
      </w:r>
      <w:r>
        <w:rPr>
          <w:rFonts w:hint="eastAsia" w:ascii="宋体" w:hAnsi="宋体" w:cs="宋体"/>
          <w:color w:val="auto"/>
          <w:highlight w:val="none"/>
        </w:rPr>
        <w:t>询比响应人在收到补充文件后，应按询比响应人须知前附表规定的时间和方式通知采购人，确认已收到该补充文件。</w:t>
      </w:r>
    </w:p>
    <w:p w14:paraId="50994E84">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2.2.4 </w:t>
      </w:r>
      <w:r>
        <w:rPr>
          <w:rFonts w:hint="eastAsia" w:ascii="宋体" w:hAnsi="宋体" w:cs="宋体"/>
          <w:color w:val="auto"/>
          <w:highlight w:val="none"/>
        </w:rPr>
        <w:t>除非确有必要，采购人有权拒绝回复询比响应人在本章第</w:t>
      </w:r>
      <w:r>
        <w:rPr>
          <w:rFonts w:ascii="宋体" w:hAnsi="宋体" w:cs="宋体"/>
          <w:color w:val="auto"/>
          <w:highlight w:val="none"/>
        </w:rPr>
        <w:t>2.2.1</w:t>
      </w:r>
      <w:r>
        <w:rPr>
          <w:rFonts w:hint="eastAsia" w:ascii="宋体" w:hAnsi="宋体" w:cs="宋体"/>
          <w:color w:val="auto"/>
          <w:highlight w:val="none"/>
        </w:rPr>
        <w:t>项规定的时间后提出的任何澄清要求。</w:t>
      </w:r>
    </w:p>
    <w:p w14:paraId="0FE89A93">
      <w:pPr>
        <w:pStyle w:val="3"/>
        <w:rPr>
          <w:rFonts w:ascii="宋体" w:cs="Times New Roman"/>
          <w:color w:val="auto"/>
          <w:highlight w:val="none"/>
        </w:rPr>
      </w:pPr>
      <w:bookmarkStart w:id="35" w:name="_Toc27224"/>
      <w:r>
        <w:rPr>
          <w:rFonts w:ascii="宋体" w:hAnsi="宋体" w:cs="宋体"/>
          <w:color w:val="auto"/>
          <w:highlight w:val="none"/>
        </w:rPr>
        <w:t>3</w:t>
      </w:r>
      <w:r>
        <w:rPr>
          <w:rFonts w:hint="eastAsia" w:ascii="宋体" w:hAnsi="宋体" w:cs="宋体"/>
          <w:color w:val="auto"/>
          <w:highlight w:val="none"/>
        </w:rPr>
        <w:t>响应文件</w:t>
      </w:r>
      <w:bookmarkEnd w:id="35"/>
    </w:p>
    <w:p w14:paraId="668D8AF6">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3.1 </w:t>
      </w:r>
      <w:r>
        <w:rPr>
          <w:rFonts w:hint="eastAsia" w:ascii="宋体" w:hAnsi="宋体" w:cs="宋体"/>
          <w:color w:val="auto"/>
          <w:highlight w:val="none"/>
        </w:rPr>
        <w:t>响应文件的组成</w:t>
      </w:r>
    </w:p>
    <w:p w14:paraId="445FDB3C">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3.1.1 </w:t>
      </w:r>
      <w:r>
        <w:rPr>
          <w:rFonts w:hint="eastAsia" w:ascii="宋体" w:hAnsi="宋体" w:cs="宋体"/>
          <w:color w:val="auto"/>
          <w:highlight w:val="none"/>
        </w:rPr>
        <w:t>响应文件应包括下列内容∶</w:t>
      </w:r>
    </w:p>
    <w:p w14:paraId="19C0C97E">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）响应函</w:t>
      </w:r>
      <w:r>
        <w:rPr>
          <w:rFonts w:ascii="宋体" w:hAnsi="宋体" w:cs="宋体"/>
          <w:color w:val="auto"/>
          <w:highlight w:val="none"/>
        </w:rPr>
        <w:t>;</w:t>
      </w:r>
    </w:p>
    <w:p w14:paraId="4B781B5D">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）授权委托书（如有）</w:t>
      </w:r>
      <w:r>
        <w:rPr>
          <w:rFonts w:ascii="宋体" w:hAnsi="宋体" w:cs="宋体"/>
          <w:color w:val="auto"/>
          <w:highlight w:val="none"/>
        </w:rPr>
        <w:t>;</w:t>
      </w:r>
    </w:p>
    <w:p w14:paraId="47864BB2">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）联合体协议书（如有）</w:t>
      </w:r>
      <w:r>
        <w:rPr>
          <w:rFonts w:ascii="宋体" w:hAnsi="宋体" w:cs="宋体"/>
          <w:color w:val="auto"/>
          <w:highlight w:val="none"/>
        </w:rPr>
        <w:t>;</w:t>
      </w:r>
    </w:p>
    <w:p w14:paraId="47879238">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）响应保证金（如有）</w:t>
      </w:r>
      <w:r>
        <w:rPr>
          <w:rFonts w:ascii="宋体" w:hAnsi="宋体" w:cs="宋体"/>
          <w:color w:val="auto"/>
          <w:highlight w:val="none"/>
        </w:rPr>
        <w:t>;</w:t>
      </w:r>
    </w:p>
    <w:p w14:paraId="5DFB95A2">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）商务和技术偏差表</w:t>
      </w:r>
      <w:r>
        <w:rPr>
          <w:rFonts w:ascii="宋体" w:hAnsi="宋体" w:cs="宋体"/>
          <w:color w:val="auto"/>
          <w:highlight w:val="none"/>
        </w:rPr>
        <w:t>;</w:t>
      </w:r>
    </w:p>
    <w:p w14:paraId="633DE769">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服务响应表</w:t>
      </w:r>
      <w:r>
        <w:rPr>
          <w:rFonts w:ascii="宋体" w:hAnsi="宋体" w:cs="宋体"/>
          <w:color w:val="auto"/>
          <w:highlight w:val="none"/>
        </w:rPr>
        <w:t>;</w:t>
      </w:r>
    </w:p>
    <w:p w14:paraId="67DDEDCA">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）资格审查资料</w:t>
      </w:r>
      <w:r>
        <w:rPr>
          <w:rFonts w:ascii="宋体" w:hAnsi="宋体" w:cs="宋体"/>
          <w:color w:val="auto"/>
          <w:highlight w:val="none"/>
        </w:rPr>
        <w:t>;</w:t>
      </w:r>
    </w:p>
    <w:p w14:paraId="2E32C276">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）响应方案</w:t>
      </w:r>
      <w:r>
        <w:rPr>
          <w:rFonts w:ascii="宋体" w:hAnsi="宋体" w:cs="宋体"/>
          <w:color w:val="auto"/>
          <w:highlight w:val="none"/>
        </w:rPr>
        <w:t>;</w:t>
      </w:r>
    </w:p>
    <w:p w14:paraId="04C13553">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9</w:t>
      </w:r>
      <w:r>
        <w:rPr>
          <w:rFonts w:hint="eastAsia" w:ascii="宋体" w:hAnsi="宋体" w:cs="宋体"/>
          <w:color w:val="auto"/>
          <w:highlight w:val="none"/>
        </w:rPr>
        <w:t>）询比响应人须知前附表规定的其他资料。</w:t>
      </w:r>
    </w:p>
    <w:p w14:paraId="013EDF0B">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询比响应人在评审过程中作出的符合采购文件要求的澄清、说明和补正，构成响应文件的组成部分。</w:t>
      </w:r>
    </w:p>
    <w:p w14:paraId="6576A524">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3.1.2 </w:t>
      </w:r>
      <w:r>
        <w:rPr>
          <w:rFonts w:hint="eastAsia" w:ascii="宋体" w:hAnsi="宋体" w:cs="宋体"/>
          <w:color w:val="auto"/>
          <w:highlight w:val="none"/>
        </w:rPr>
        <w:t>询比响应人的法定代表人（单位负责人）亲自签署响应文件、亲自参加询比的，响应文件不包括第</w:t>
      </w:r>
      <w:r>
        <w:rPr>
          <w:rFonts w:ascii="宋体" w:hAnsi="宋体" w:cs="宋体"/>
          <w:color w:val="auto"/>
          <w:highlight w:val="none"/>
        </w:rPr>
        <w:t>3.1.1</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）目所指的授权委托书。第一章</w:t>
      </w:r>
      <w:r>
        <w:rPr>
          <w:rFonts w:ascii="宋体" w:hAnsi="宋体" w:cs="宋体"/>
          <w:color w:val="auto"/>
          <w:highlight w:val="none"/>
        </w:rPr>
        <w:t>"</w:t>
      </w:r>
      <w:r>
        <w:rPr>
          <w:rFonts w:hint="eastAsia" w:ascii="宋体" w:hAnsi="宋体" w:cs="宋体"/>
          <w:color w:val="auto"/>
          <w:highlight w:val="none"/>
        </w:rPr>
        <w:t>询比采购公告</w:t>
      </w:r>
      <w:r>
        <w:rPr>
          <w:rFonts w:ascii="宋体" w:hAnsi="宋体" w:cs="宋体"/>
          <w:color w:val="auto"/>
          <w:highlight w:val="none"/>
        </w:rPr>
        <w:t>/</w:t>
      </w:r>
      <w:r>
        <w:rPr>
          <w:rFonts w:hint="eastAsia" w:ascii="宋体" w:hAnsi="宋体" w:cs="宋体"/>
          <w:color w:val="auto"/>
          <w:highlight w:val="none"/>
        </w:rPr>
        <w:t>询比采购邀请书</w:t>
      </w:r>
      <w:r>
        <w:rPr>
          <w:rFonts w:ascii="宋体" w:hAnsi="宋体" w:cs="宋体"/>
          <w:color w:val="auto"/>
          <w:highlight w:val="none"/>
        </w:rPr>
        <w:t>"</w:t>
      </w:r>
      <w:r>
        <w:rPr>
          <w:rFonts w:hint="eastAsia" w:ascii="宋体" w:hAnsi="宋体" w:cs="宋体"/>
          <w:color w:val="auto"/>
          <w:highlight w:val="none"/>
        </w:rPr>
        <w:t>规定不接受联合体的，或询比响应人没有组成联合体的，响应文件不包括第</w:t>
      </w:r>
      <w:r>
        <w:rPr>
          <w:rFonts w:ascii="宋体" w:hAnsi="宋体" w:cs="宋体"/>
          <w:color w:val="auto"/>
          <w:highlight w:val="none"/>
        </w:rPr>
        <w:t>3.1.1</w:t>
      </w: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）目所指的联合体协议书。询比响应人须知前附表未要求询比响应人递交响应保证金的，响应文件不包括第</w:t>
      </w:r>
      <w:r>
        <w:rPr>
          <w:rFonts w:ascii="宋体" w:hAnsi="宋体" w:cs="宋体"/>
          <w:color w:val="auto"/>
          <w:highlight w:val="none"/>
        </w:rPr>
        <w:t>3.1.1</w:t>
      </w: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）目所指的响应保证金。</w:t>
      </w:r>
    </w:p>
    <w:p w14:paraId="30F5D5AE">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3.2 </w:t>
      </w:r>
      <w:r>
        <w:rPr>
          <w:rFonts w:hint="eastAsia" w:ascii="宋体" w:hAnsi="宋体" w:cs="宋体"/>
          <w:color w:val="auto"/>
          <w:highlight w:val="none"/>
        </w:rPr>
        <w:t>报价</w:t>
      </w:r>
    </w:p>
    <w:p w14:paraId="4BF82DF4">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3.2.1 </w:t>
      </w:r>
      <w:r>
        <w:rPr>
          <w:rFonts w:hint="eastAsia" w:ascii="宋体" w:hAnsi="宋体" w:cs="宋体"/>
          <w:color w:val="auto"/>
          <w:highlight w:val="none"/>
        </w:rPr>
        <w:t>询比响应人应按采购文件提供的格式（见第六章</w:t>
      </w:r>
      <w:r>
        <w:rPr>
          <w:rFonts w:ascii="宋体" w:hAnsi="宋体" w:cs="宋体"/>
          <w:color w:val="auto"/>
          <w:highlight w:val="none"/>
        </w:rPr>
        <w:t>"</w:t>
      </w:r>
      <w:r>
        <w:rPr>
          <w:rFonts w:hint="eastAsia" w:ascii="宋体" w:hAnsi="宋体" w:cs="宋体"/>
          <w:color w:val="auto"/>
          <w:highlight w:val="none"/>
        </w:rPr>
        <w:t>响应文件格式</w:t>
      </w:r>
      <w:r>
        <w:rPr>
          <w:rFonts w:ascii="宋体" w:hAnsi="宋体" w:cs="宋体"/>
          <w:color w:val="auto"/>
          <w:highlight w:val="none"/>
        </w:rPr>
        <w:t>"</w:t>
      </w:r>
      <w:r>
        <w:rPr>
          <w:rFonts w:hint="eastAsia" w:ascii="宋体" w:hAnsi="宋体" w:cs="宋体"/>
          <w:color w:val="auto"/>
          <w:highlight w:val="none"/>
        </w:rPr>
        <w:t>）在响应函和报价表中进行报价。响应函中报价应为包含国家规定的增值税在内的含税价格，同时应列明不含税价格和增值税税额。采购人将根据项目情况，在第三章</w:t>
      </w:r>
      <w:r>
        <w:rPr>
          <w:rFonts w:ascii="宋体" w:hAnsi="宋体" w:cs="宋体"/>
          <w:color w:val="auto"/>
          <w:highlight w:val="none"/>
        </w:rPr>
        <w:t>"</w:t>
      </w:r>
      <w:r>
        <w:rPr>
          <w:rFonts w:hint="eastAsia" w:ascii="宋体" w:hAnsi="宋体" w:cs="宋体"/>
          <w:color w:val="auto"/>
          <w:highlight w:val="none"/>
        </w:rPr>
        <w:t>评审办法</w:t>
      </w:r>
      <w:r>
        <w:rPr>
          <w:rFonts w:ascii="宋体" w:hAnsi="宋体" w:cs="宋体"/>
          <w:color w:val="auto"/>
          <w:highlight w:val="none"/>
        </w:rPr>
        <w:t>"</w:t>
      </w:r>
      <w:r>
        <w:rPr>
          <w:rFonts w:hint="eastAsia" w:ascii="宋体" w:hAnsi="宋体" w:cs="宋体"/>
          <w:color w:val="auto"/>
          <w:highlight w:val="none"/>
        </w:rPr>
        <w:t>第</w:t>
      </w:r>
      <w:r>
        <w:rPr>
          <w:rFonts w:ascii="宋体" w:hAnsi="宋体" w:cs="宋体"/>
          <w:color w:val="auto"/>
          <w:highlight w:val="none"/>
        </w:rPr>
        <w:t>2.2.2</w:t>
      </w:r>
      <w:r>
        <w:rPr>
          <w:rFonts w:hint="eastAsia" w:ascii="宋体" w:hAnsi="宋体" w:cs="宋体"/>
          <w:color w:val="auto"/>
          <w:highlight w:val="none"/>
        </w:rPr>
        <w:t>项中选择按照含税价格或不含税价格对询比响应人进行价格评审。</w:t>
      </w:r>
    </w:p>
    <w:p w14:paraId="4008157C">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3.2.2 </w:t>
      </w:r>
      <w:r>
        <w:rPr>
          <w:rFonts w:hint="eastAsia" w:ascii="宋体" w:hAnsi="宋体" w:cs="宋体"/>
          <w:color w:val="auto"/>
          <w:highlight w:val="none"/>
        </w:rPr>
        <w:t>询比响应人应充分了解采购项目的总体情况以及影响报价的其他要素。对于货物和服务采购项目，采购人在签署采购合同时及合同履行过程中，有权在询比响应人须知前附表规定的幅度内对采购标的的数量进行增加或减少。</w:t>
      </w:r>
    </w:p>
    <w:p w14:paraId="2EB2F484">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3.2.3</w:t>
      </w:r>
      <w:r>
        <w:rPr>
          <w:rFonts w:hint="eastAsia" w:ascii="宋体" w:hAnsi="宋体" w:cs="宋体"/>
          <w:color w:val="auto"/>
          <w:highlight w:val="none"/>
        </w:rPr>
        <w:t>采购人设有最高限价的，询比响应人的报价不得超过最高限价。最高限价或最高限价计算方法在询比响应人须知前附表中载明。</w:t>
      </w:r>
    </w:p>
    <w:p w14:paraId="27110EBE">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3.2.4 </w:t>
      </w:r>
      <w:r>
        <w:rPr>
          <w:rFonts w:hint="eastAsia" w:ascii="宋体" w:hAnsi="宋体" w:cs="宋体"/>
          <w:color w:val="auto"/>
          <w:highlight w:val="none"/>
        </w:rPr>
        <w:t>报价的其他要求见询比响应人须知前附表。</w:t>
      </w:r>
    </w:p>
    <w:p w14:paraId="618D5B26">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3.3</w:t>
      </w:r>
      <w:r>
        <w:rPr>
          <w:rFonts w:hint="eastAsia" w:ascii="宋体" w:hAnsi="宋体" w:cs="宋体"/>
          <w:color w:val="auto"/>
          <w:highlight w:val="none"/>
        </w:rPr>
        <w:t>响应文件有效期</w:t>
      </w:r>
    </w:p>
    <w:p w14:paraId="05F26C53">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3.3.1 </w:t>
      </w:r>
      <w:r>
        <w:rPr>
          <w:rFonts w:hint="eastAsia" w:ascii="宋体" w:hAnsi="宋体" w:cs="宋体"/>
          <w:color w:val="auto"/>
          <w:highlight w:val="none"/>
        </w:rPr>
        <w:t>除询比响应人须知前附表另有规定外，响应文件有效期应为</w:t>
      </w:r>
      <w:r>
        <w:rPr>
          <w:rFonts w:ascii="宋体" w:hAnsi="宋体" w:cs="宋体"/>
          <w:color w:val="auto"/>
          <w:highlight w:val="none"/>
        </w:rPr>
        <w:t>90</w:t>
      </w:r>
      <w:r>
        <w:rPr>
          <w:rFonts w:hint="eastAsia" w:ascii="宋体" w:hAnsi="宋体" w:cs="宋体"/>
          <w:color w:val="auto"/>
          <w:highlight w:val="none"/>
        </w:rPr>
        <w:t>日，从采购文件规定的递交响应文件的截止时间开始计算。</w:t>
      </w:r>
    </w:p>
    <w:p w14:paraId="6F0DCD97">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3.3.2 </w:t>
      </w:r>
      <w:r>
        <w:rPr>
          <w:rFonts w:hint="eastAsia" w:ascii="宋体" w:hAnsi="宋体" w:cs="宋体"/>
          <w:color w:val="auto"/>
          <w:highlight w:val="none"/>
        </w:rPr>
        <w:t>出现特殊情况需要延长响应文件有效期的，采购人以书面形式通知所有询比响应人延长响应文件有效期，询比响应人应予以书面答复。同意延长的，应相应延长其响应保证金的有效期，但不得修改其响应文件</w:t>
      </w:r>
      <w:r>
        <w:rPr>
          <w:rFonts w:ascii="宋体" w:hAnsi="宋体" w:cs="宋体"/>
          <w:color w:val="auto"/>
          <w:highlight w:val="none"/>
        </w:rPr>
        <w:t>;</w:t>
      </w:r>
      <w:r>
        <w:rPr>
          <w:rFonts w:hint="eastAsia" w:ascii="宋体" w:hAnsi="宋体" w:cs="宋体"/>
          <w:color w:val="auto"/>
          <w:highlight w:val="none"/>
        </w:rPr>
        <w:t>询比响应人拒绝延长的，其响应文件在原有效期届满后失效，但询比响应人有权收回其响应保证金。</w:t>
      </w:r>
    </w:p>
    <w:p w14:paraId="44145497">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3.4 </w:t>
      </w:r>
      <w:r>
        <w:rPr>
          <w:rFonts w:hint="eastAsia" w:ascii="宋体" w:hAnsi="宋体" w:cs="宋体"/>
          <w:color w:val="auto"/>
          <w:highlight w:val="none"/>
        </w:rPr>
        <w:t>响应保证金</w:t>
      </w:r>
    </w:p>
    <w:p w14:paraId="1BBA32FA">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3.4.1 </w:t>
      </w:r>
      <w:r>
        <w:rPr>
          <w:rFonts w:hint="eastAsia" w:ascii="宋体" w:hAnsi="宋体" w:cs="宋体"/>
          <w:color w:val="auto"/>
          <w:highlight w:val="none"/>
        </w:rPr>
        <w:t>询比响应人须知前附表规定要求递交响应保证金的，询比响应人在递交响应文件的同时，应按询比响应人须知前附表规定的金额、形式和采购文件提供的格式（见第六章</w:t>
      </w:r>
      <w:r>
        <w:rPr>
          <w:rFonts w:ascii="宋体" w:hAnsi="宋体" w:cs="宋体"/>
          <w:color w:val="auto"/>
          <w:highlight w:val="none"/>
        </w:rPr>
        <w:t>"</w:t>
      </w:r>
      <w:r>
        <w:rPr>
          <w:rFonts w:hint="eastAsia" w:ascii="宋体" w:hAnsi="宋体" w:cs="宋体"/>
          <w:color w:val="auto"/>
          <w:highlight w:val="none"/>
        </w:rPr>
        <w:t>响应文件格式</w:t>
      </w:r>
      <w:r>
        <w:rPr>
          <w:rFonts w:ascii="宋体" w:hAnsi="宋体" w:cs="宋体"/>
          <w:color w:val="auto"/>
          <w:highlight w:val="none"/>
        </w:rPr>
        <w:t>"</w:t>
      </w:r>
      <w:r>
        <w:rPr>
          <w:rFonts w:hint="eastAsia" w:ascii="宋体" w:hAnsi="宋体" w:cs="宋体"/>
          <w:color w:val="auto"/>
          <w:highlight w:val="none"/>
        </w:rPr>
        <w:t>四、响应保证金）递交响应保证金，并作为其响应文件的组成部分。询比响应人不按要求递交响应保证金的，其响应文件将被视为无效。</w:t>
      </w:r>
    </w:p>
    <w:p w14:paraId="4FE93D78">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3.4.2 </w:t>
      </w:r>
      <w:r>
        <w:rPr>
          <w:rFonts w:hint="eastAsia" w:ascii="宋体" w:hAnsi="宋体" w:cs="宋体"/>
          <w:color w:val="auto"/>
          <w:highlight w:val="none"/>
        </w:rPr>
        <w:t>除询比响应人须知前附表另有规定外，采购人将在发出成交通知书后</w:t>
      </w:r>
      <w:r>
        <w:rPr>
          <w:rFonts w:ascii="宋体" w:hAnsi="宋体" w:cs="宋体"/>
          <w:color w:val="auto"/>
          <w:highlight w:val="none"/>
        </w:rPr>
        <w:t>5</w:t>
      </w:r>
      <w:r>
        <w:rPr>
          <w:rFonts w:hint="eastAsia" w:ascii="宋体" w:hAnsi="宋体" w:cs="宋体"/>
          <w:color w:val="auto"/>
          <w:highlight w:val="none"/>
        </w:rPr>
        <w:t>日内向除候选成交询比响应人外的其他询比响应人原额退还响应保证金，并在采购合同签订后</w:t>
      </w:r>
      <w:r>
        <w:rPr>
          <w:rFonts w:ascii="宋体" w:hAnsi="宋体" w:cs="宋体"/>
          <w:color w:val="auto"/>
          <w:highlight w:val="none"/>
        </w:rPr>
        <w:t>5</w:t>
      </w:r>
      <w:r>
        <w:rPr>
          <w:rFonts w:hint="eastAsia" w:ascii="宋体" w:hAnsi="宋体" w:cs="宋体"/>
          <w:color w:val="auto"/>
          <w:highlight w:val="none"/>
        </w:rPr>
        <w:t>日内向成交询比响应人和未成交的其他候选成交询比响应人原额退还响应保证金。采用银行保函、担保机构担保函、保险机构保险单形式递交的响应保证金，经询比响应人同意后采购人可以不再退还。</w:t>
      </w:r>
    </w:p>
    <w:p w14:paraId="21DDD544">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3.4.3 </w:t>
      </w:r>
      <w:r>
        <w:rPr>
          <w:rFonts w:hint="eastAsia" w:ascii="宋体" w:hAnsi="宋体" w:cs="宋体"/>
          <w:color w:val="auto"/>
          <w:highlight w:val="none"/>
        </w:rPr>
        <w:t>有下列情形之一的，响应保证金将不予退还∶</w:t>
      </w:r>
    </w:p>
    <w:p w14:paraId="4B63AC67">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）询比响应人在响应文件有效期内撤销响应文件</w:t>
      </w:r>
      <w:r>
        <w:rPr>
          <w:rFonts w:ascii="宋体" w:hAnsi="宋体" w:cs="宋体"/>
          <w:color w:val="auto"/>
          <w:highlight w:val="none"/>
        </w:rPr>
        <w:t>;</w:t>
      </w:r>
    </w:p>
    <w:p w14:paraId="5C1F1984">
      <w:pPr>
        <w:pStyle w:val="18"/>
        <w:widowControl/>
        <w:spacing w:beforeAutospacing="0" w:afterAutospacing="0" w:line="360" w:lineRule="auto"/>
        <w:ind w:firstLine="480" w:firstLineChars="200"/>
        <w:rPr>
          <w:rFonts w:ascii="宋体" w:cs="Times New Roman"/>
          <w:color w:val="auto"/>
          <w:spacing w:val="-6"/>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w:t>
      </w:r>
      <w:r>
        <w:rPr>
          <w:rFonts w:hint="eastAsia" w:ascii="宋体" w:hAnsi="宋体" w:cs="宋体"/>
          <w:color w:val="auto"/>
          <w:spacing w:val="-6"/>
          <w:highlight w:val="none"/>
        </w:rPr>
        <w:t>成交询比响应人在收到成交通知书后，无正当理由不与</w:t>
      </w:r>
      <w:r>
        <w:rPr>
          <w:rFonts w:hint="eastAsia" w:ascii="宋体" w:hAnsi="宋体" w:cs="宋体"/>
          <w:color w:val="auto"/>
          <w:highlight w:val="none"/>
        </w:rPr>
        <w:t>采购人</w:t>
      </w:r>
      <w:r>
        <w:rPr>
          <w:rFonts w:hint="eastAsia" w:ascii="宋体" w:hAnsi="宋体" w:cs="宋体"/>
          <w:color w:val="auto"/>
          <w:spacing w:val="-6"/>
          <w:highlight w:val="none"/>
        </w:rPr>
        <w:t>订立合同，在签订合同时向</w:t>
      </w:r>
      <w:r>
        <w:rPr>
          <w:rFonts w:hint="eastAsia" w:ascii="宋体" w:hAnsi="宋体" w:cs="宋体"/>
          <w:color w:val="auto"/>
          <w:highlight w:val="none"/>
        </w:rPr>
        <w:t>采购人</w:t>
      </w:r>
      <w:r>
        <w:rPr>
          <w:rFonts w:hint="eastAsia" w:ascii="宋体" w:hAnsi="宋体" w:cs="宋体"/>
          <w:color w:val="auto"/>
          <w:spacing w:val="-6"/>
          <w:highlight w:val="none"/>
        </w:rPr>
        <w:t>提出附加条件，或者不按照采购文件要求递交履约保证金</w:t>
      </w:r>
      <w:r>
        <w:rPr>
          <w:rFonts w:ascii="宋体" w:hAnsi="宋体" w:cs="宋体"/>
          <w:color w:val="auto"/>
          <w:spacing w:val="-6"/>
          <w:highlight w:val="none"/>
        </w:rPr>
        <w:t>;</w:t>
      </w:r>
    </w:p>
    <w:p w14:paraId="23D505DB">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）发生询比响应人须知前附表规定的其他不予退还响应保证金的情形。</w:t>
      </w:r>
    </w:p>
    <w:p w14:paraId="01FA49CB">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3.5 </w:t>
      </w:r>
      <w:r>
        <w:rPr>
          <w:rFonts w:hint="eastAsia" w:ascii="宋体" w:hAnsi="宋体" w:cs="宋体"/>
          <w:color w:val="auto"/>
          <w:highlight w:val="none"/>
        </w:rPr>
        <w:t>资格审查资料</w:t>
      </w:r>
    </w:p>
    <w:p w14:paraId="7EB32EE3">
      <w:pPr>
        <w:pStyle w:val="18"/>
        <w:widowControl/>
        <w:spacing w:beforeAutospacing="0" w:afterAutospacing="0" w:line="360" w:lineRule="auto"/>
        <w:ind w:firstLine="456" w:firstLineChars="200"/>
        <w:rPr>
          <w:rFonts w:ascii="宋体" w:cs="Times New Roman"/>
          <w:color w:val="auto"/>
          <w:spacing w:val="-6"/>
          <w:highlight w:val="none"/>
        </w:rPr>
      </w:pPr>
      <w:r>
        <w:rPr>
          <w:rFonts w:hint="eastAsia" w:ascii="宋体" w:hAnsi="宋体" w:cs="宋体"/>
          <w:color w:val="auto"/>
          <w:spacing w:val="-6"/>
          <w:highlight w:val="none"/>
        </w:rPr>
        <w:t>询比响应人应提供询比响应人须知前附表</w:t>
      </w:r>
      <w:r>
        <w:rPr>
          <w:rFonts w:ascii="宋体" w:hAnsi="宋体" w:cs="宋体"/>
          <w:color w:val="auto"/>
          <w:spacing w:val="-6"/>
          <w:highlight w:val="none"/>
        </w:rPr>
        <w:t>3.5</w:t>
      </w:r>
      <w:r>
        <w:rPr>
          <w:rFonts w:hint="eastAsia" w:ascii="宋体" w:hAnsi="宋体" w:cs="宋体"/>
          <w:color w:val="auto"/>
          <w:spacing w:val="-6"/>
          <w:highlight w:val="none"/>
        </w:rPr>
        <w:t>（</w:t>
      </w:r>
      <w:r>
        <w:rPr>
          <w:rFonts w:ascii="宋体" w:hAnsi="宋体" w:cs="宋体"/>
          <w:color w:val="auto"/>
          <w:spacing w:val="-6"/>
          <w:highlight w:val="none"/>
        </w:rPr>
        <w:t>1</w:t>
      </w:r>
      <w:r>
        <w:rPr>
          <w:rFonts w:hint="eastAsia" w:ascii="宋体" w:hAnsi="宋体" w:cs="宋体"/>
          <w:color w:val="auto"/>
          <w:spacing w:val="-6"/>
          <w:highlight w:val="none"/>
        </w:rPr>
        <w:t>）</w:t>
      </w:r>
      <w:r>
        <w:rPr>
          <w:rFonts w:ascii="宋体" w:hAnsi="宋体" w:cs="宋体"/>
          <w:color w:val="auto"/>
          <w:spacing w:val="-6"/>
          <w:highlight w:val="none"/>
        </w:rPr>
        <w:t>-3.5</w:t>
      </w:r>
      <w:r>
        <w:rPr>
          <w:rFonts w:hint="eastAsia" w:ascii="宋体" w:hAnsi="宋体" w:cs="宋体"/>
          <w:color w:val="auto"/>
          <w:spacing w:val="-6"/>
          <w:highlight w:val="none"/>
        </w:rPr>
        <w:t>（</w:t>
      </w:r>
      <w:r>
        <w:rPr>
          <w:rFonts w:ascii="宋体" w:hAnsi="宋体" w:cs="宋体"/>
          <w:color w:val="auto"/>
          <w:spacing w:val="-6"/>
          <w:highlight w:val="none"/>
        </w:rPr>
        <w:t>9</w:t>
      </w:r>
      <w:r>
        <w:rPr>
          <w:rFonts w:hint="eastAsia" w:ascii="宋体" w:hAnsi="宋体" w:cs="宋体"/>
          <w:color w:val="auto"/>
          <w:spacing w:val="-6"/>
          <w:highlight w:val="none"/>
        </w:rPr>
        <w:t>）中规定的资格审查资料，以证明其满足第一章</w:t>
      </w:r>
      <w:r>
        <w:rPr>
          <w:rFonts w:ascii="宋体" w:hAnsi="宋体" w:cs="宋体"/>
          <w:color w:val="auto"/>
          <w:spacing w:val="-6"/>
          <w:highlight w:val="none"/>
        </w:rPr>
        <w:t>""</w:t>
      </w:r>
      <w:r>
        <w:rPr>
          <w:rFonts w:hint="eastAsia" w:ascii="宋体" w:hAnsi="宋体" w:cs="宋体"/>
          <w:color w:val="auto"/>
          <w:spacing w:val="-6"/>
          <w:highlight w:val="none"/>
        </w:rPr>
        <w:t>询比采购公告</w:t>
      </w:r>
      <w:r>
        <w:rPr>
          <w:rFonts w:ascii="宋体" w:hAnsi="宋体" w:cs="宋体"/>
          <w:color w:val="auto"/>
          <w:spacing w:val="-6"/>
          <w:highlight w:val="none"/>
        </w:rPr>
        <w:t>/</w:t>
      </w:r>
      <w:r>
        <w:rPr>
          <w:rFonts w:hint="eastAsia" w:ascii="宋体" w:hAnsi="宋体" w:cs="宋体"/>
          <w:color w:val="auto"/>
          <w:spacing w:val="-6"/>
          <w:highlight w:val="none"/>
        </w:rPr>
        <w:t>询比采购邀请书</w:t>
      </w:r>
      <w:r>
        <w:rPr>
          <w:rFonts w:ascii="宋体" w:hAnsi="宋体" w:cs="宋体"/>
          <w:color w:val="auto"/>
          <w:spacing w:val="-6"/>
          <w:highlight w:val="none"/>
        </w:rPr>
        <w:t>"</w:t>
      </w:r>
      <w:r>
        <w:rPr>
          <w:rFonts w:hint="eastAsia" w:ascii="宋体" w:hAnsi="宋体" w:cs="宋体"/>
          <w:color w:val="auto"/>
          <w:spacing w:val="-6"/>
          <w:highlight w:val="none"/>
        </w:rPr>
        <w:t>对询比响应人的各项资格要求。</w:t>
      </w:r>
    </w:p>
    <w:p w14:paraId="67F5ADFC">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3.6 </w:t>
      </w:r>
      <w:r>
        <w:rPr>
          <w:rFonts w:hint="eastAsia" w:ascii="宋体" w:hAnsi="宋体" w:cs="宋体"/>
          <w:color w:val="auto"/>
          <w:highlight w:val="none"/>
        </w:rPr>
        <w:t>响应方案</w:t>
      </w:r>
    </w:p>
    <w:p w14:paraId="3E112E62">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3.6.1 </w:t>
      </w:r>
      <w:r>
        <w:rPr>
          <w:rFonts w:hint="eastAsia" w:ascii="宋体" w:hAnsi="宋体" w:cs="宋体"/>
          <w:color w:val="auto"/>
          <w:highlight w:val="none"/>
        </w:rPr>
        <w:t>响应文件应当对采购文件中的实质性内容作出响应。采购需求中明确为关键条款（标记</w:t>
      </w:r>
      <w:r>
        <w:rPr>
          <w:rFonts w:ascii="宋体" w:hAnsi="宋体" w:cs="宋体"/>
          <w:color w:val="auto"/>
          <w:highlight w:val="none"/>
        </w:rPr>
        <w:t>"*"</w:t>
      </w:r>
      <w:r>
        <w:rPr>
          <w:rFonts w:hint="eastAsia" w:ascii="宋体" w:hAnsi="宋体" w:cs="宋体"/>
          <w:color w:val="auto"/>
          <w:highlight w:val="none"/>
        </w:rPr>
        <w:t>）的，询比响应人还应按照询比响应人须知前附表的规定提供有关证据或证明材料。</w:t>
      </w:r>
    </w:p>
    <w:p w14:paraId="1EFC81C1">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3.6.2 </w:t>
      </w:r>
      <w:r>
        <w:rPr>
          <w:rFonts w:hint="eastAsia" w:ascii="宋体" w:hAnsi="宋体" w:cs="宋体"/>
          <w:color w:val="auto"/>
          <w:highlight w:val="none"/>
        </w:rPr>
        <w:t>询比响应人只能提出唯一的响应方案。询比响应人在响应文件中提出多个响应方案的，其响应文件将被视为无效。</w:t>
      </w:r>
    </w:p>
    <w:p w14:paraId="74BFF589">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3.6.3 </w:t>
      </w:r>
      <w:r>
        <w:rPr>
          <w:rFonts w:hint="eastAsia" w:ascii="宋体" w:hAnsi="宋体" w:cs="宋体"/>
          <w:color w:val="auto"/>
          <w:highlight w:val="none"/>
        </w:rPr>
        <w:t>响应文件对采购文件的全部偏差，均应在响应文件的商务和技术偏差表中列明。响应文件偏差表中未列明的内容，将视为响应采购文件的要求</w:t>
      </w:r>
      <w:r>
        <w:rPr>
          <w:rFonts w:ascii="宋体" w:hAnsi="宋体" w:cs="宋体"/>
          <w:color w:val="auto"/>
          <w:highlight w:val="none"/>
        </w:rPr>
        <w:t>;</w:t>
      </w:r>
      <w:r>
        <w:rPr>
          <w:rFonts w:hint="eastAsia" w:ascii="宋体" w:hAnsi="宋体" w:cs="宋体"/>
          <w:color w:val="auto"/>
          <w:highlight w:val="none"/>
        </w:rPr>
        <w:t>但如发现响应文件的其他部分与商务和技术偏差表的描述不一致或询比响应人的响应缺乏支持性文件，则评审小组有权要求询比响应人对相关问题进行澄清，并根据澄清结果对询比响应人的响应文件进行评审。</w:t>
      </w:r>
    </w:p>
    <w:p w14:paraId="2AE369C7">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3.7 </w:t>
      </w:r>
      <w:r>
        <w:rPr>
          <w:rFonts w:hint="eastAsia" w:ascii="宋体" w:hAnsi="宋体" w:cs="宋体"/>
          <w:color w:val="auto"/>
          <w:highlight w:val="none"/>
        </w:rPr>
        <w:t>响应文件的编制</w:t>
      </w:r>
    </w:p>
    <w:p w14:paraId="4B0332A7">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3.7.1 </w:t>
      </w:r>
      <w:r>
        <w:rPr>
          <w:rFonts w:hint="eastAsia" w:ascii="宋体" w:hAnsi="宋体" w:cs="宋体"/>
          <w:color w:val="auto"/>
          <w:highlight w:val="none"/>
        </w:rPr>
        <w:t>响应文件应按第六章</w:t>
      </w:r>
      <w:r>
        <w:rPr>
          <w:rFonts w:ascii="宋体" w:hAnsi="宋体" w:cs="宋体"/>
          <w:color w:val="auto"/>
          <w:highlight w:val="none"/>
        </w:rPr>
        <w:t>"</w:t>
      </w:r>
      <w:r>
        <w:rPr>
          <w:rFonts w:hint="eastAsia" w:ascii="宋体" w:hAnsi="宋体" w:cs="宋体"/>
          <w:color w:val="auto"/>
          <w:highlight w:val="none"/>
        </w:rPr>
        <w:t>响应文件格式</w:t>
      </w:r>
      <w:r>
        <w:rPr>
          <w:rFonts w:ascii="宋体" w:hAnsi="宋体" w:cs="宋体"/>
          <w:color w:val="auto"/>
          <w:highlight w:val="none"/>
        </w:rPr>
        <w:t>"</w:t>
      </w:r>
      <w:r>
        <w:rPr>
          <w:rFonts w:hint="eastAsia" w:ascii="宋体" w:hAnsi="宋体" w:cs="宋体"/>
          <w:color w:val="auto"/>
          <w:highlight w:val="none"/>
        </w:rPr>
        <w:t>进行编写，如有必要，可以增加附页，作为响应文件的组成部分。</w:t>
      </w:r>
    </w:p>
    <w:p w14:paraId="210799B9">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3.7.2</w:t>
      </w:r>
      <w:r>
        <w:rPr>
          <w:rFonts w:hint="eastAsia" w:ascii="宋体" w:hAnsi="宋体" w:cs="宋体"/>
          <w:color w:val="auto"/>
          <w:highlight w:val="none"/>
        </w:rPr>
        <w:t>响应文件应用不褪色的材料书写或打印。</w:t>
      </w:r>
    </w:p>
    <w:p w14:paraId="6739AD09">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响应函应由询比响应人的法定代表人（单位负责人）或其授权的代理人签字并加盖单位章。</w:t>
      </w:r>
    </w:p>
    <w:p w14:paraId="167AC7F0">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联合体协议书（如有）应由联合体各方的法定代表人（单位负责人）或其授权的代理人签字并加盖单位章。</w:t>
      </w:r>
    </w:p>
    <w:p w14:paraId="154B12DB">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响应函或联合体协议书（如有）由代理人签字的，应在响应文件中附授权委托书，授权委托书应由询比响应人或联合体各方的法定代表人（单位负责人）签字并加盖单位章。</w:t>
      </w:r>
    </w:p>
    <w:p w14:paraId="2A99411B">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3.7.3 </w:t>
      </w:r>
      <w:r>
        <w:rPr>
          <w:rFonts w:hint="eastAsia" w:ascii="宋体" w:hAnsi="宋体" w:cs="宋体"/>
          <w:color w:val="auto"/>
          <w:highlight w:val="none"/>
        </w:rPr>
        <w:t>评审过程中询比响应人对响应文件的澄清、说明和补正应由询比响应人的法定代表人（单位负责人）或其授权的代理人签字或加盖单位章。</w:t>
      </w:r>
    </w:p>
    <w:p w14:paraId="5DB0545B">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3.7.4 </w:t>
      </w:r>
      <w:r>
        <w:rPr>
          <w:rFonts w:hint="eastAsia" w:ascii="宋体" w:hAnsi="宋体" w:cs="宋体"/>
          <w:color w:val="auto"/>
          <w:highlight w:val="none"/>
        </w:rPr>
        <w:t>响应文件应尽量避免涂改、行间插字或删除。如果出现上述情况，改动之处应由询比响应人的法定代表人单位负责人）或其授权的代理人签字或加盖单位章。</w:t>
      </w:r>
      <w:r>
        <w:rPr>
          <w:rFonts w:ascii="宋体" w:hAnsi="宋体" w:cs="宋体"/>
          <w:color w:val="auto"/>
          <w:highlight w:val="none"/>
        </w:rPr>
        <w:t xml:space="preserve">3.7.5 </w:t>
      </w:r>
      <w:r>
        <w:rPr>
          <w:rFonts w:hint="eastAsia" w:ascii="宋体" w:hAnsi="宋体" w:cs="宋体"/>
          <w:color w:val="auto"/>
          <w:highlight w:val="none"/>
        </w:rPr>
        <w:t>响应文件正本一份，副本份数见询比响应人须知前附表。正本和副本的封面右上角应清楚地标记</w:t>
      </w:r>
      <w:r>
        <w:rPr>
          <w:rFonts w:ascii="宋体" w:hAnsi="宋体" w:cs="宋体"/>
          <w:color w:val="auto"/>
          <w:highlight w:val="none"/>
        </w:rPr>
        <w:t>"</w:t>
      </w:r>
      <w:r>
        <w:rPr>
          <w:rFonts w:hint="eastAsia" w:ascii="宋体" w:hAnsi="宋体" w:cs="宋体"/>
          <w:color w:val="auto"/>
          <w:highlight w:val="none"/>
        </w:rPr>
        <w:t>正本</w:t>
      </w:r>
      <w:r>
        <w:rPr>
          <w:rFonts w:ascii="宋体" w:hAnsi="宋体" w:cs="宋体"/>
          <w:color w:val="auto"/>
          <w:highlight w:val="none"/>
        </w:rPr>
        <w:t>"</w:t>
      </w:r>
      <w:r>
        <w:rPr>
          <w:rFonts w:hint="eastAsia" w:ascii="宋体" w:hAnsi="宋体" w:cs="宋体"/>
          <w:color w:val="auto"/>
          <w:highlight w:val="none"/>
        </w:rPr>
        <w:t>或</w:t>
      </w:r>
      <w:r>
        <w:rPr>
          <w:rFonts w:ascii="宋体" w:hAnsi="宋体" w:cs="宋体"/>
          <w:color w:val="auto"/>
          <w:highlight w:val="none"/>
        </w:rPr>
        <w:t>"</w:t>
      </w:r>
      <w:r>
        <w:rPr>
          <w:rFonts w:hint="eastAsia" w:ascii="宋体" w:hAnsi="宋体" w:cs="宋体"/>
          <w:color w:val="auto"/>
          <w:highlight w:val="none"/>
        </w:rPr>
        <w:t>副本</w:t>
      </w:r>
      <w:r>
        <w:rPr>
          <w:rFonts w:ascii="宋体" w:hAnsi="宋体" w:cs="宋体"/>
          <w:color w:val="auto"/>
          <w:highlight w:val="none"/>
        </w:rPr>
        <w:t>"</w:t>
      </w:r>
      <w:r>
        <w:rPr>
          <w:rFonts w:hint="eastAsia" w:ascii="宋体" w:hAnsi="宋体" w:cs="宋体"/>
          <w:color w:val="auto"/>
          <w:highlight w:val="none"/>
        </w:rPr>
        <w:t>的字样。询比响应人应根据询比响应人须知前附表要求提供电子版文件。当副本和正本不一致，或电子版文件和纸质正本文件不一致时，以纸质正本文件为准。</w:t>
      </w:r>
    </w:p>
    <w:p w14:paraId="0FDB59EF">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3.7.6 </w:t>
      </w:r>
      <w:r>
        <w:rPr>
          <w:rFonts w:hint="eastAsia" w:ascii="宋体" w:hAnsi="宋体" w:cs="宋体"/>
          <w:color w:val="auto"/>
          <w:highlight w:val="none"/>
        </w:rPr>
        <w:t>响应文件的正本与副本应分别装订，并编制目录。响应文件需分册装订的，具体分册装订要求见询比响应人须知前附表规定。</w:t>
      </w:r>
    </w:p>
    <w:p w14:paraId="6F944571">
      <w:pPr>
        <w:pStyle w:val="3"/>
        <w:rPr>
          <w:rFonts w:ascii="宋体" w:cs="Times New Roman"/>
          <w:color w:val="auto"/>
          <w:highlight w:val="none"/>
        </w:rPr>
      </w:pPr>
      <w:bookmarkStart w:id="36" w:name="_Toc4988"/>
      <w:r>
        <w:rPr>
          <w:rFonts w:ascii="宋体" w:hAnsi="宋体" w:cs="宋体"/>
          <w:color w:val="auto"/>
          <w:highlight w:val="none"/>
        </w:rPr>
        <w:t xml:space="preserve">4 </w:t>
      </w:r>
      <w:r>
        <w:rPr>
          <w:rFonts w:hint="eastAsia" w:ascii="宋体" w:hAnsi="宋体" w:cs="宋体"/>
          <w:color w:val="auto"/>
          <w:highlight w:val="none"/>
        </w:rPr>
        <w:t>响应文件的递交</w:t>
      </w:r>
      <w:bookmarkEnd w:id="36"/>
    </w:p>
    <w:p w14:paraId="2CFD2881">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4.1 </w:t>
      </w:r>
      <w:r>
        <w:rPr>
          <w:rFonts w:hint="eastAsia" w:ascii="宋体" w:hAnsi="宋体" w:cs="宋体"/>
          <w:color w:val="auto"/>
          <w:highlight w:val="none"/>
        </w:rPr>
        <w:t>响应文件的包装与标记</w:t>
      </w:r>
    </w:p>
    <w:p w14:paraId="499C99AD">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4.1.1 </w:t>
      </w:r>
      <w:r>
        <w:rPr>
          <w:rFonts w:hint="eastAsia" w:ascii="宋体" w:hAnsi="宋体" w:cs="宋体"/>
          <w:color w:val="auto"/>
          <w:highlight w:val="none"/>
        </w:rPr>
        <w:t>响应文件应密封包装，未密封的响应文件，采购人将拒绝接收。</w:t>
      </w:r>
    </w:p>
    <w:p w14:paraId="3C49780D">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4.1.2 </w:t>
      </w:r>
      <w:r>
        <w:rPr>
          <w:rFonts w:hint="eastAsia" w:ascii="宋体" w:hAnsi="宋体" w:cs="宋体"/>
          <w:color w:val="auto"/>
          <w:highlight w:val="none"/>
        </w:rPr>
        <w:t>响应文件封套上应载明的内容见询比响应人须知前附表。</w:t>
      </w:r>
    </w:p>
    <w:p w14:paraId="703C6305">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4.2 </w:t>
      </w:r>
      <w:r>
        <w:rPr>
          <w:rFonts w:hint="eastAsia" w:ascii="宋体" w:hAnsi="宋体" w:cs="宋体"/>
          <w:color w:val="auto"/>
          <w:highlight w:val="none"/>
        </w:rPr>
        <w:t>响应文件的递交</w:t>
      </w:r>
    </w:p>
    <w:p w14:paraId="3D01839B">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4.2.1 </w:t>
      </w:r>
      <w:r>
        <w:rPr>
          <w:rFonts w:hint="eastAsia" w:ascii="宋体" w:hAnsi="宋体" w:cs="宋体"/>
          <w:color w:val="auto"/>
          <w:highlight w:val="none"/>
        </w:rPr>
        <w:t>询比响应人应在询比响应人须知前附表规定的递交响应文件的截止时间前，将响应文件递交到询比响应人须知前附表规定的地点。逾期送达的或者未送达指定地点的响应文件，采购人将拒绝接收。采购人收到响应文件后，向询比响应人出具接收凭证。</w:t>
      </w:r>
      <w:r>
        <w:rPr>
          <w:rFonts w:ascii="宋体" w:hAnsi="宋体" w:cs="宋体"/>
          <w:color w:val="auto"/>
          <w:highlight w:val="none"/>
        </w:rPr>
        <w:t xml:space="preserve">4.2.2 </w:t>
      </w:r>
      <w:r>
        <w:rPr>
          <w:rFonts w:hint="eastAsia" w:ascii="宋体" w:hAnsi="宋体" w:cs="宋体"/>
          <w:color w:val="auto"/>
          <w:highlight w:val="none"/>
        </w:rPr>
        <w:t>除询比响应人须知前附表另有规定外，询比响应人所递交的响应文件不予退还。</w:t>
      </w:r>
    </w:p>
    <w:p w14:paraId="0205BC9F">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4.3 </w:t>
      </w:r>
      <w:r>
        <w:rPr>
          <w:rFonts w:hint="eastAsia" w:ascii="宋体" w:hAnsi="宋体" w:cs="宋体"/>
          <w:color w:val="auto"/>
          <w:highlight w:val="none"/>
        </w:rPr>
        <w:t>响应文件的修改与撤回</w:t>
      </w:r>
    </w:p>
    <w:p w14:paraId="7550B38E">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4.3.1 </w:t>
      </w:r>
      <w:r>
        <w:rPr>
          <w:rFonts w:hint="eastAsia" w:ascii="宋体" w:hAnsi="宋体" w:cs="宋体"/>
          <w:color w:val="auto"/>
          <w:highlight w:val="none"/>
        </w:rPr>
        <w:t>在本章第</w:t>
      </w:r>
      <w:r>
        <w:rPr>
          <w:rFonts w:ascii="宋体" w:hAnsi="宋体" w:cs="宋体"/>
          <w:color w:val="auto"/>
          <w:highlight w:val="none"/>
        </w:rPr>
        <w:t>4.2.1</w:t>
      </w:r>
      <w:r>
        <w:rPr>
          <w:rFonts w:hint="eastAsia" w:ascii="宋体" w:hAnsi="宋体" w:cs="宋体"/>
          <w:color w:val="auto"/>
          <w:highlight w:val="none"/>
        </w:rPr>
        <w:t>项规定的递交响应文件的截止时间前，询比响应人可以修改或撤回已递交的响应文件，但应以书面形式通知采购人。</w:t>
      </w:r>
    </w:p>
    <w:p w14:paraId="4949C912">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4.3.2 </w:t>
      </w:r>
      <w:r>
        <w:rPr>
          <w:rFonts w:hint="eastAsia" w:ascii="宋体" w:hAnsi="宋体" w:cs="宋体"/>
          <w:color w:val="auto"/>
          <w:highlight w:val="none"/>
        </w:rPr>
        <w:t>响应文件的修改文件或询比响应人撤回已递交响应文件的书面通知应由询比响应人的法定代表人（单位负责人）或其授权的代理人签字并加盖单位章。采购人收到询比响应人修改响应文件的书面文件后，向询比响应人出具接收凭证</w:t>
      </w:r>
      <w:r>
        <w:rPr>
          <w:rFonts w:ascii="宋体" w:hAnsi="宋体" w:cs="宋体"/>
          <w:color w:val="auto"/>
          <w:highlight w:val="none"/>
        </w:rPr>
        <w:t>;</w:t>
      </w:r>
      <w:r>
        <w:rPr>
          <w:rFonts w:hint="eastAsia" w:ascii="宋体" w:hAnsi="宋体" w:cs="宋体"/>
          <w:color w:val="auto"/>
          <w:highlight w:val="none"/>
        </w:rPr>
        <w:t>采购人收到询比响应人撤回响应文件的书面通知后，退回询比响应人的响应文件。</w:t>
      </w:r>
    </w:p>
    <w:p w14:paraId="45DA37D2">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4.3.3 </w:t>
      </w:r>
      <w:r>
        <w:rPr>
          <w:rFonts w:hint="eastAsia" w:ascii="宋体" w:hAnsi="宋体" w:cs="宋体"/>
          <w:color w:val="auto"/>
          <w:highlight w:val="none"/>
        </w:rPr>
        <w:t>除询比响应人须知前附表另有规定外，询比响应人撤回响应文件的，采购人应在</w:t>
      </w:r>
      <w:r>
        <w:rPr>
          <w:rFonts w:ascii="宋体" w:hAnsi="宋体" w:cs="宋体"/>
          <w:color w:val="auto"/>
          <w:highlight w:val="none"/>
        </w:rPr>
        <w:t>5</w:t>
      </w:r>
      <w:r>
        <w:rPr>
          <w:rFonts w:hint="eastAsia" w:ascii="宋体" w:hAnsi="宋体" w:cs="宋体"/>
          <w:color w:val="auto"/>
          <w:highlight w:val="none"/>
        </w:rPr>
        <w:t>日内退还已收取的响应保证金。</w:t>
      </w:r>
    </w:p>
    <w:p w14:paraId="3F7F94B6">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4.3.4 </w:t>
      </w:r>
      <w:r>
        <w:rPr>
          <w:rFonts w:hint="eastAsia" w:ascii="宋体" w:hAnsi="宋体" w:cs="宋体"/>
          <w:color w:val="auto"/>
          <w:highlight w:val="none"/>
        </w:rPr>
        <w:t>修改的内容为响应文件的组成部分。响应文件的修改文件应按照本章第</w:t>
      </w:r>
      <w:r>
        <w:rPr>
          <w:rFonts w:ascii="宋体" w:hAnsi="宋体" w:cs="宋体"/>
          <w:color w:val="auto"/>
          <w:highlight w:val="none"/>
        </w:rPr>
        <w:t>3</w:t>
      </w:r>
      <w:r>
        <w:rPr>
          <w:rFonts w:hint="eastAsia" w:ascii="宋体" w:hAnsi="宋体" w:cs="宋体"/>
          <w:color w:val="auto"/>
          <w:highlight w:val="none"/>
        </w:rPr>
        <w:t>条、第</w:t>
      </w:r>
      <w:r>
        <w:rPr>
          <w:rFonts w:ascii="宋体" w:hAnsi="宋体" w:cs="宋体"/>
          <w:color w:val="auto"/>
          <w:highlight w:val="none"/>
        </w:rPr>
        <w:t>4</w:t>
      </w:r>
      <w:r>
        <w:rPr>
          <w:rFonts w:hint="eastAsia" w:ascii="宋体" w:hAnsi="宋体" w:cs="宋体"/>
          <w:color w:val="auto"/>
          <w:highlight w:val="none"/>
        </w:rPr>
        <w:t>条的规定进行编制、包装、标记和递交，并标明</w:t>
      </w:r>
      <w:r>
        <w:rPr>
          <w:rFonts w:ascii="宋体" w:hAnsi="宋体" w:cs="宋体"/>
          <w:color w:val="auto"/>
          <w:highlight w:val="none"/>
        </w:rPr>
        <w:t>"</w:t>
      </w:r>
      <w:r>
        <w:rPr>
          <w:rFonts w:hint="eastAsia" w:ascii="宋体" w:hAnsi="宋体" w:cs="宋体"/>
          <w:color w:val="auto"/>
          <w:highlight w:val="none"/>
        </w:rPr>
        <w:t>修改</w:t>
      </w:r>
      <w:r>
        <w:rPr>
          <w:rFonts w:ascii="宋体" w:hAnsi="宋体" w:cs="宋体"/>
          <w:color w:val="auto"/>
          <w:highlight w:val="none"/>
        </w:rPr>
        <w:t>"</w:t>
      </w:r>
      <w:r>
        <w:rPr>
          <w:rFonts w:hint="eastAsia" w:ascii="宋体" w:hAnsi="宋体" w:cs="宋体"/>
          <w:color w:val="auto"/>
          <w:highlight w:val="none"/>
        </w:rPr>
        <w:t>字样。</w:t>
      </w:r>
    </w:p>
    <w:p w14:paraId="556FFDFC">
      <w:pPr>
        <w:pStyle w:val="3"/>
        <w:rPr>
          <w:rFonts w:ascii="宋体" w:cs="Times New Roman"/>
          <w:color w:val="auto"/>
          <w:highlight w:val="none"/>
        </w:rPr>
      </w:pPr>
      <w:bookmarkStart w:id="37" w:name="_Toc16520"/>
      <w:r>
        <w:rPr>
          <w:rFonts w:ascii="宋体" w:hAnsi="宋体" w:cs="宋体"/>
          <w:color w:val="auto"/>
          <w:highlight w:val="none"/>
        </w:rPr>
        <w:t xml:space="preserve">5 </w:t>
      </w:r>
      <w:r>
        <w:rPr>
          <w:rFonts w:hint="eastAsia" w:ascii="宋体" w:hAnsi="宋体" w:cs="宋体"/>
          <w:color w:val="auto"/>
          <w:highlight w:val="none"/>
        </w:rPr>
        <w:t>开启响应文件</w:t>
      </w:r>
      <w:bookmarkEnd w:id="37"/>
    </w:p>
    <w:p w14:paraId="4585AAA8">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5.1 </w:t>
      </w:r>
      <w:r>
        <w:rPr>
          <w:rFonts w:hint="eastAsia" w:ascii="宋体" w:hAnsi="宋体" w:cs="宋体"/>
          <w:color w:val="auto"/>
          <w:highlight w:val="none"/>
        </w:rPr>
        <w:t>开启响应文件的时间和地点</w:t>
      </w:r>
    </w:p>
    <w:p w14:paraId="272FECF5">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采购人在本章第</w:t>
      </w:r>
      <w:r>
        <w:rPr>
          <w:rFonts w:ascii="宋体" w:hAnsi="宋体" w:cs="宋体"/>
          <w:color w:val="auto"/>
          <w:highlight w:val="none"/>
        </w:rPr>
        <w:t>4.2.1</w:t>
      </w:r>
      <w:r>
        <w:rPr>
          <w:rFonts w:hint="eastAsia" w:ascii="宋体" w:hAnsi="宋体" w:cs="宋体"/>
          <w:color w:val="auto"/>
          <w:highlight w:val="none"/>
        </w:rPr>
        <w:t>项规定的递交响应文件的截止时间和地点公开开启响应文件，并邀请所有询比响应人的法定代表人（单位负责人）或其授权的代理人参加开启会议，询比响应人未派代表参加的，视为默认开启结果。</w:t>
      </w:r>
    </w:p>
    <w:p w14:paraId="35D07B1C">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5.2</w:t>
      </w:r>
      <w:r>
        <w:rPr>
          <w:rFonts w:hint="eastAsia" w:ascii="宋体" w:hAnsi="宋体" w:cs="宋体"/>
          <w:color w:val="auto"/>
          <w:highlight w:val="none"/>
        </w:rPr>
        <w:t>开启程序</w:t>
      </w:r>
    </w:p>
    <w:p w14:paraId="3B7BAD32">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主持人按下列程序公开开启响应文件∶</w:t>
      </w:r>
    </w:p>
    <w:p w14:paraId="481CD497">
      <w:pPr>
        <w:pStyle w:val="18"/>
        <w:widowControl/>
        <w:numPr>
          <w:ilvl w:val="0"/>
          <w:numId w:val="2"/>
        </w:numPr>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宣布开启会议纪律</w:t>
      </w:r>
      <w:r>
        <w:rPr>
          <w:rFonts w:ascii="宋体" w:hAnsi="宋体" w:cs="宋体"/>
          <w:color w:val="auto"/>
          <w:highlight w:val="none"/>
        </w:rPr>
        <w:t>;</w:t>
      </w:r>
    </w:p>
    <w:p w14:paraId="21AAC9F9">
      <w:pPr>
        <w:pStyle w:val="18"/>
        <w:widowControl/>
        <w:numPr>
          <w:ilvl w:val="0"/>
          <w:numId w:val="2"/>
        </w:numPr>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宣布参加开启会议的工作人员姓名</w:t>
      </w:r>
      <w:r>
        <w:rPr>
          <w:rFonts w:ascii="宋体" w:hAnsi="宋体" w:cs="宋体"/>
          <w:color w:val="auto"/>
          <w:highlight w:val="none"/>
        </w:rPr>
        <w:t>;</w:t>
      </w:r>
    </w:p>
    <w:p w14:paraId="66C87A50">
      <w:pPr>
        <w:pStyle w:val="18"/>
        <w:widowControl/>
        <w:spacing w:beforeAutospacing="0" w:afterAutospacing="0" w:line="360" w:lineRule="auto"/>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）询比响应人代表检查确认响应文件的密封情况</w:t>
      </w:r>
      <w:r>
        <w:rPr>
          <w:rFonts w:ascii="宋体" w:hAnsi="宋体" w:cs="宋体"/>
          <w:color w:val="auto"/>
          <w:highlight w:val="none"/>
        </w:rPr>
        <w:t>;</w:t>
      </w:r>
    </w:p>
    <w:p w14:paraId="2DB06EE7">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）按照询比响应人须知前附表规定的开启顺序开启响应文件，公布递交响应文件的询比响应人名称、响应报价及询比响应人须知前附表规定的其他应公布的信息，并记录在案</w:t>
      </w:r>
      <w:r>
        <w:rPr>
          <w:rFonts w:ascii="宋体" w:hAnsi="宋体" w:cs="宋体"/>
          <w:color w:val="auto"/>
          <w:highlight w:val="none"/>
        </w:rPr>
        <w:t>;</w:t>
      </w:r>
    </w:p>
    <w:p w14:paraId="3577022F">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）询比响应人代表及相关工作人员等在响应文件开启记录上签字确认</w:t>
      </w:r>
      <w:r>
        <w:rPr>
          <w:rFonts w:ascii="宋体" w:hAnsi="宋体" w:cs="宋体"/>
          <w:color w:val="auto"/>
          <w:highlight w:val="none"/>
        </w:rPr>
        <w:t>;</w:t>
      </w:r>
    </w:p>
    <w:p w14:paraId="7590A188">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）宣布有关注意事项</w:t>
      </w:r>
      <w:r>
        <w:rPr>
          <w:rFonts w:ascii="宋体" w:hAnsi="宋体" w:cs="宋体"/>
          <w:color w:val="auto"/>
          <w:highlight w:val="none"/>
        </w:rPr>
        <w:t>;</w:t>
      </w:r>
    </w:p>
    <w:p w14:paraId="3A1F75EC">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）开启会议结束。</w:t>
      </w:r>
    </w:p>
    <w:p w14:paraId="134857AD">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5.3</w:t>
      </w:r>
      <w:r>
        <w:rPr>
          <w:rFonts w:hint="eastAsia" w:ascii="宋体" w:hAnsi="宋体" w:cs="宋体"/>
          <w:color w:val="auto"/>
          <w:highlight w:val="none"/>
        </w:rPr>
        <w:t>递交响应文件的询比响应人不足的情形</w:t>
      </w:r>
    </w:p>
    <w:p w14:paraId="2EF06F76">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采购项目选择一家成交询比响应人时，递交响应文件的询比响应人数量不足三家的，或采购项目选择多家成交询比响应人时，递交响应文件的询比响应人数量少于询比响应人须知前附表规定数量的，采购人可按照下述情形分别处理：</w:t>
      </w:r>
    </w:p>
    <w:p w14:paraId="346AA5B2">
      <w:pPr>
        <w:pStyle w:val="18"/>
        <w:widowControl/>
        <w:numPr>
          <w:ilvl w:val="0"/>
          <w:numId w:val="3"/>
        </w:numPr>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终止询比并重新组织采购</w:t>
      </w:r>
    </w:p>
    <w:p w14:paraId="4D5C2008">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采购项目存在影响公平竞争情形的，采购人应当终止询比采购，并根据不同情形和原因，采取相应纠正措施，重新组织采购。</w:t>
      </w:r>
    </w:p>
    <w:p w14:paraId="7DB28058">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采购项目不存在影响公平竞争情形的，采购人也可以选择终止询比采购，采取相应完善措施，重新组织采购。</w:t>
      </w:r>
    </w:p>
    <w:p w14:paraId="73D58651">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）继续询比采购</w:t>
      </w:r>
    </w:p>
    <w:p w14:paraId="0684D03B">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采购项目不存在应该终止询比情形，且采购人也没有自行选择终止询比采购</w:t>
      </w:r>
    </w:p>
    <w:p w14:paraId="5DDD83DB">
      <w:pPr>
        <w:pStyle w:val="18"/>
        <w:widowControl/>
        <w:spacing w:beforeAutospacing="0" w:afterAutospacing="0" w:line="360" w:lineRule="auto"/>
        <w:rPr>
          <w:rFonts w:ascii="宋体" w:cs="Times New Roman"/>
          <w:color w:val="auto"/>
          <w:highlight w:val="none"/>
        </w:rPr>
      </w:pPr>
      <w:r>
        <w:rPr>
          <w:rFonts w:hint="eastAsia" w:ascii="宋体" w:hAnsi="宋体" w:cs="宋体"/>
          <w:color w:val="auto"/>
          <w:highlight w:val="none"/>
        </w:rPr>
        <w:t>的，采购人应按照本章第</w:t>
      </w:r>
      <w:r>
        <w:rPr>
          <w:rFonts w:ascii="宋体" w:hAnsi="宋体" w:cs="宋体"/>
          <w:color w:val="auto"/>
          <w:highlight w:val="none"/>
        </w:rPr>
        <w:t>5.2</w:t>
      </w:r>
      <w:r>
        <w:rPr>
          <w:rFonts w:hint="eastAsia" w:ascii="宋体" w:hAnsi="宋体" w:cs="宋体"/>
          <w:color w:val="auto"/>
          <w:highlight w:val="none"/>
        </w:rPr>
        <w:t>款规定的程序继续开启响应文件，并按第三章“评审办法”规定的规则组织响应文件评审，完成询比采购后续程序。</w:t>
      </w:r>
    </w:p>
    <w:p w14:paraId="1EFAE617">
      <w:pPr>
        <w:pStyle w:val="3"/>
        <w:rPr>
          <w:rFonts w:ascii="宋体" w:cs="Times New Roman"/>
          <w:color w:val="auto"/>
          <w:highlight w:val="none"/>
        </w:rPr>
      </w:pPr>
      <w:bookmarkStart w:id="38" w:name="_Toc23592"/>
      <w:bookmarkStart w:id="39" w:name="_Toc3182"/>
      <w:r>
        <w:rPr>
          <w:rFonts w:ascii="宋体" w:hAnsi="宋体" w:cs="宋体"/>
          <w:color w:val="auto"/>
          <w:highlight w:val="none"/>
        </w:rPr>
        <w:t xml:space="preserve">6 </w:t>
      </w:r>
      <w:r>
        <w:rPr>
          <w:rFonts w:hint="eastAsia" w:ascii="宋体" w:hAnsi="宋体" w:cs="宋体"/>
          <w:color w:val="auto"/>
          <w:highlight w:val="none"/>
        </w:rPr>
        <w:t>评审</w:t>
      </w:r>
      <w:bookmarkEnd w:id="38"/>
    </w:p>
    <w:p w14:paraId="1BBEFBA9">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6.1 </w:t>
      </w:r>
      <w:r>
        <w:rPr>
          <w:rFonts w:hint="eastAsia" w:ascii="宋体" w:hAnsi="宋体" w:cs="宋体"/>
          <w:color w:val="auto"/>
          <w:highlight w:val="none"/>
        </w:rPr>
        <w:t>评审小组</w:t>
      </w:r>
    </w:p>
    <w:p w14:paraId="7AC2ACF0">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6.1.1 </w:t>
      </w:r>
      <w:r>
        <w:rPr>
          <w:rFonts w:hint="eastAsia" w:ascii="宋体" w:hAnsi="宋体" w:cs="宋体"/>
          <w:color w:val="auto"/>
          <w:highlight w:val="none"/>
        </w:rPr>
        <w:t>评审由采购人组建的评审小组负责。</w:t>
      </w:r>
    </w:p>
    <w:p w14:paraId="4A0A47CC">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6.1.2 </w:t>
      </w:r>
      <w:r>
        <w:rPr>
          <w:rFonts w:hint="eastAsia" w:ascii="宋体" w:hAnsi="宋体" w:cs="宋体"/>
          <w:color w:val="auto"/>
          <w:highlight w:val="none"/>
        </w:rPr>
        <w:t>评审小组成员有下列情形之一的，应当回避：</w:t>
      </w:r>
    </w:p>
    <w:p w14:paraId="766C44BF">
      <w:pPr>
        <w:pStyle w:val="18"/>
        <w:widowControl/>
        <w:spacing w:beforeAutospacing="0" w:afterAutospacing="0" w:line="360" w:lineRule="auto"/>
        <w:ind w:firstLine="48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）询比响应人主要负责人或询比响应人主要负责人的近亲属；</w:t>
      </w:r>
    </w:p>
    <w:p w14:paraId="706F21F6">
      <w:pPr>
        <w:pStyle w:val="18"/>
        <w:widowControl/>
        <w:spacing w:beforeAutospacing="0" w:afterAutospacing="0" w:line="360" w:lineRule="auto"/>
        <w:ind w:firstLine="48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）与询比响应人有经济利益关系或其他利害关系，可能影响公正评审的。</w:t>
      </w:r>
    </w:p>
    <w:p w14:paraId="570E916B">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6.1.3 </w:t>
      </w:r>
      <w:r>
        <w:rPr>
          <w:rFonts w:hint="eastAsia" w:ascii="宋体" w:hAnsi="宋体" w:cs="宋体"/>
          <w:color w:val="auto"/>
          <w:highlight w:val="none"/>
        </w:rPr>
        <w:t>评审小组组建后，评审小组成员共同推选或由采购人指定评审小组组长，评审小组组长负责组织评审工作。</w:t>
      </w:r>
    </w:p>
    <w:p w14:paraId="078F1F4C">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6.1.4 </w:t>
      </w:r>
      <w:r>
        <w:rPr>
          <w:rFonts w:hint="eastAsia" w:ascii="宋体" w:hAnsi="宋体" w:cs="宋体"/>
          <w:color w:val="auto"/>
          <w:highlight w:val="none"/>
        </w:rPr>
        <w:t>在评审过程中，评审小组成员对需要共同认定的事项存在争议的，将按照少数服从多数的原则作出结论。持不同意见的评审小组成员应当在评审报告上签署不同意见及理由，否则视为同意评审报告。</w:t>
      </w:r>
    </w:p>
    <w:p w14:paraId="1FA75350">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6.2</w:t>
      </w:r>
      <w:r>
        <w:rPr>
          <w:rFonts w:hint="eastAsia" w:ascii="宋体" w:hAnsi="宋体" w:cs="宋体"/>
          <w:color w:val="auto"/>
          <w:highlight w:val="none"/>
        </w:rPr>
        <w:t>评审</w:t>
      </w:r>
    </w:p>
    <w:p w14:paraId="0C49023F">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6.2.1 </w:t>
      </w:r>
      <w:r>
        <w:rPr>
          <w:rFonts w:hint="eastAsia" w:ascii="宋体" w:hAnsi="宋体" w:cs="宋体"/>
          <w:color w:val="auto"/>
          <w:highlight w:val="none"/>
        </w:rPr>
        <w:t>评审小组按照第三章“评审办法”规定的评审标准和程序对响应文件进行评审和比较。</w:t>
      </w:r>
    </w:p>
    <w:p w14:paraId="5DE68096">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6.2.2 </w:t>
      </w:r>
      <w:r>
        <w:rPr>
          <w:rFonts w:hint="eastAsia" w:ascii="宋体" w:hAnsi="宋体" w:cs="宋体"/>
          <w:color w:val="auto"/>
          <w:highlight w:val="none"/>
        </w:rPr>
        <w:t>评审完成后，评审小组应当向采购人提交书面评审报告和候选成交询比响应人名称。评审小组推荐候选成立询比响应人的排序要求及数量见询比响应人须知前附表。</w:t>
      </w:r>
    </w:p>
    <w:p w14:paraId="308E9D41">
      <w:pPr>
        <w:pStyle w:val="3"/>
        <w:rPr>
          <w:rFonts w:ascii="宋体" w:cs="Times New Roman"/>
          <w:color w:val="auto"/>
          <w:highlight w:val="none"/>
        </w:rPr>
      </w:pPr>
      <w:r>
        <w:rPr>
          <w:rFonts w:ascii="宋体" w:hAnsi="宋体" w:cs="宋体"/>
          <w:color w:val="auto"/>
          <w:highlight w:val="none"/>
        </w:rPr>
        <w:t xml:space="preserve">7 </w:t>
      </w:r>
      <w:r>
        <w:rPr>
          <w:rFonts w:hint="eastAsia" w:ascii="宋体" w:hAnsi="宋体" w:cs="宋体"/>
          <w:color w:val="auto"/>
          <w:highlight w:val="none"/>
        </w:rPr>
        <w:t>合同授予</w:t>
      </w:r>
      <w:bookmarkEnd w:id="39"/>
    </w:p>
    <w:p w14:paraId="50E1B880">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7.1 </w:t>
      </w:r>
      <w:r>
        <w:rPr>
          <w:rFonts w:hint="eastAsia" w:ascii="宋体" w:hAnsi="宋体" w:cs="宋体"/>
          <w:color w:val="auto"/>
          <w:highlight w:val="none"/>
        </w:rPr>
        <w:t>候选成交询比响应人履约能力核查</w:t>
      </w:r>
    </w:p>
    <w:p w14:paraId="0529F569">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采购人可对候选成交询比响应人的相关证明材料原件进行核验或组织现场考察，以确认候选成交询比响应人的生产经营、财务等实际状况与响应文件是否存在其他可能影响询比响应人履约能力的情况。核查结果将作为采购人选择确定预成交询比响应人的依据之一</w:t>
      </w:r>
    </w:p>
    <w:p w14:paraId="012A58C8">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7.2 </w:t>
      </w:r>
      <w:r>
        <w:rPr>
          <w:rFonts w:hint="eastAsia" w:ascii="宋体" w:hAnsi="宋体" w:cs="宋体"/>
          <w:color w:val="auto"/>
          <w:highlight w:val="none"/>
        </w:rPr>
        <w:t>确定预成交询比响应人</w:t>
      </w:r>
    </w:p>
    <w:p w14:paraId="61CEA40F">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采购人将根据评审报告及核查结果（如有），对候选成交询比响应人综合评估后从中选择确定预成交询比响应人。</w:t>
      </w:r>
    </w:p>
    <w:p w14:paraId="1DB55045">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7.3 </w:t>
      </w:r>
      <w:r>
        <w:rPr>
          <w:rFonts w:hint="eastAsia" w:ascii="宋体" w:hAnsi="宋体" w:cs="宋体"/>
          <w:color w:val="auto"/>
          <w:highlight w:val="none"/>
        </w:rPr>
        <w:t>预成交结果公示</w:t>
      </w:r>
    </w:p>
    <w:p w14:paraId="6EEE0441">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预成交询比响应人选定后，采购人将按照询比响应人须知前附表规定的公示媒介和公示期限进行公示，公示信息包括如下内容∶</w:t>
      </w:r>
    </w:p>
    <w:p w14:paraId="4310C5D8">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）所有候选成交询比响应人名称、响应价格及工期</w:t>
      </w:r>
      <w:r>
        <w:rPr>
          <w:rFonts w:ascii="宋体" w:hAnsi="宋体" w:cs="宋体"/>
          <w:color w:val="auto"/>
          <w:highlight w:val="none"/>
        </w:rPr>
        <w:t>/</w:t>
      </w:r>
      <w:r>
        <w:rPr>
          <w:rFonts w:hint="eastAsia" w:ascii="宋体" w:hAnsi="宋体" w:cs="宋体"/>
          <w:color w:val="auto"/>
          <w:highlight w:val="none"/>
        </w:rPr>
        <w:t>交货期</w:t>
      </w:r>
      <w:r>
        <w:rPr>
          <w:rFonts w:ascii="宋体" w:hAnsi="宋体" w:cs="宋体"/>
          <w:color w:val="auto"/>
          <w:highlight w:val="none"/>
        </w:rPr>
        <w:t>/</w:t>
      </w:r>
      <w:r>
        <w:rPr>
          <w:rFonts w:hint="eastAsia" w:ascii="宋体" w:hAnsi="宋体" w:cs="宋体"/>
          <w:color w:val="auto"/>
          <w:highlight w:val="none"/>
        </w:rPr>
        <w:t>服务期</w:t>
      </w:r>
      <w:r>
        <w:rPr>
          <w:rFonts w:ascii="宋体" w:hAnsi="宋体" w:cs="宋体"/>
          <w:color w:val="auto"/>
          <w:highlight w:val="none"/>
        </w:rPr>
        <w:t>;</w:t>
      </w:r>
    </w:p>
    <w:p w14:paraId="2FEFC18E">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）预成交询比响应人名称、预成交份额（如有）及选择原因</w:t>
      </w:r>
      <w:r>
        <w:rPr>
          <w:rFonts w:ascii="宋体" w:hAnsi="宋体" w:cs="宋体"/>
          <w:color w:val="auto"/>
          <w:highlight w:val="none"/>
        </w:rPr>
        <w:t>;</w:t>
      </w:r>
    </w:p>
    <w:p w14:paraId="00BE14F7">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）询比响应人须知前附表规定的其他内容。</w:t>
      </w:r>
    </w:p>
    <w:p w14:paraId="3D9D90FF">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7.4 </w:t>
      </w:r>
      <w:r>
        <w:rPr>
          <w:rFonts w:hint="eastAsia" w:ascii="宋体" w:hAnsi="宋体" w:cs="宋体"/>
          <w:color w:val="auto"/>
          <w:highlight w:val="none"/>
        </w:rPr>
        <w:t>发出成交通知书</w:t>
      </w:r>
    </w:p>
    <w:p w14:paraId="201A6DBC">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公示期结束后，在本章第</w:t>
      </w:r>
      <w:r>
        <w:rPr>
          <w:rFonts w:ascii="宋体" w:hAnsi="宋体" w:cs="宋体"/>
          <w:color w:val="auto"/>
          <w:highlight w:val="none"/>
        </w:rPr>
        <w:t>3.3</w:t>
      </w:r>
      <w:r>
        <w:rPr>
          <w:rFonts w:hint="eastAsia" w:ascii="宋体" w:hAnsi="宋体" w:cs="宋体"/>
          <w:color w:val="auto"/>
          <w:highlight w:val="none"/>
        </w:rPr>
        <w:t>款规定的响应文件有效期内，采购人以书面形式向预成交询比响应人发出成交通知书。</w:t>
      </w:r>
    </w:p>
    <w:p w14:paraId="02D36745">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7.5</w:t>
      </w:r>
      <w:r>
        <w:rPr>
          <w:rFonts w:hint="eastAsia" w:ascii="宋体" w:hAnsi="宋体" w:cs="宋体"/>
          <w:color w:val="auto"/>
          <w:highlight w:val="none"/>
        </w:rPr>
        <w:t>发布成交公告</w:t>
      </w:r>
    </w:p>
    <w:p w14:paraId="27879D8A">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在发出成交通知书的同时，采购人将在询比响应人须知前附表规定的公告媒介发布成交公告，公告信息包括成交询比响应人名称、响应价格及工期</w:t>
      </w:r>
      <w:r>
        <w:rPr>
          <w:rFonts w:ascii="宋体" w:hAnsi="宋体" w:cs="宋体"/>
          <w:color w:val="auto"/>
          <w:highlight w:val="none"/>
        </w:rPr>
        <w:t>/</w:t>
      </w:r>
      <w:r>
        <w:rPr>
          <w:rFonts w:hint="eastAsia" w:ascii="宋体" w:hAnsi="宋体" w:cs="宋体"/>
          <w:color w:val="auto"/>
          <w:highlight w:val="none"/>
        </w:rPr>
        <w:t>交货期</w:t>
      </w:r>
      <w:r>
        <w:rPr>
          <w:rFonts w:ascii="宋体" w:hAnsi="宋体" w:cs="宋体"/>
          <w:color w:val="auto"/>
          <w:highlight w:val="none"/>
        </w:rPr>
        <w:t>/</w:t>
      </w:r>
      <w:r>
        <w:rPr>
          <w:rFonts w:hint="eastAsia" w:ascii="宋体" w:hAnsi="宋体" w:cs="宋体"/>
          <w:color w:val="auto"/>
          <w:highlight w:val="none"/>
        </w:rPr>
        <w:t>服务期、成交份额（如有）及询比响应人须知前附表规定的其他内容。</w:t>
      </w:r>
    </w:p>
    <w:p w14:paraId="747CD615">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7.6 </w:t>
      </w:r>
      <w:r>
        <w:rPr>
          <w:rFonts w:hint="eastAsia" w:ascii="宋体" w:hAnsi="宋体" w:cs="宋体"/>
          <w:color w:val="auto"/>
          <w:highlight w:val="none"/>
        </w:rPr>
        <w:t>履约保证金</w:t>
      </w:r>
    </w:p>
    <w:p w14:paraId="2C59E9A8">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询比响应人须知前附表规定递交履约保证金的，成交询比响应人应按询比响应人须知前附表规定的形式、有效期限和递交时间向采购人递交履约保证金。</w:t>
      </w:r>
    </w:p>
    <w:p w14:paraId="0AFB31AB">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7.7</w:t>
      </w:r>
      <w:r>
        <w:rPr>
          <w:rFonts w:hint="eastAsia" w:ascii="宋体" w:hAnsi="宋体" w:cs="宋体"/>
          <w:color w:val="auto"/>
          <w:highlight w:val="none"/>
        </w:rPr>
        <w:t>签订合同</w:t>
      </w:r>
    </w:p>
    <w:p w14:paraId="59043575">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7.7.1 </w:t>
      </w:r>
      <w:r>
        <w:rPr>
          <w:rFonts w:hint="eastAsia" w:ascii="宋体" w:hAnsi="宋体" w:cs="宋体"/>
          <w:color w:val="auto"/>
          <w:highlight w:val="none"/>
        </w:rPr>
        <w:t>采购人</w:t>
      </w:r>
      <w:r>
        <w:rPr>
          <w:rFonts w:hint="eastAsia" w:ascii="宋体" w:hAnsi="宋体" w:cs="宋体"/>
          <w:color w:val="auto"/>
          <w:spacing w:val="-6"/>
          <w:highlight w:val="none"/>
        </w:rPr>
        <w:t>和成交询比响应人应当在成交通知书规定的期限内，根据</w:t>
      </w:r>
      <w:r>
        <w:rPr>
          <w:rFonts w:hint="eastAsia" w:ascii="宋体" w:hAnsi="宋体" w:cs="宋体"/>
          <w:color w:val="auto"/>
          <w:highlight w:val="none"/>
        </w:rPr>
        <w:t>招标</w:t>
      </w:r>
      <w:r>
        <w:rPr>
          <w:rFonts w:hint="eastAsia" w:ascii="宋体" w:hAnsi="宋体" w:cs="宋体"/>
          <w:color w:val="auto"/>
          <w:spacing w:val="-6"/>
          <w:highlight w:val="none"/>
        </w:rPr>
        <w:t>文件和成交询比响应人的响应文件订立书面合同。成交询比响应人无正当理由拒绝签订合同，在签订合同时向</w:t>
      </w:r>
      <w:r>
        <w:rPr>
          <w:rFonts w:hint="eastAsia" w:ascii="宋体" w:hAnsi="宋体" w:cs="宋体"/>
          <w:color w:val="auto"/>
          <w:highlight w:val="none"/>
        </w:rPr>
        <w:t>采购人</w:t>
      </w:r>
      <w:r>
        <w:rPr>
          <w:rFonts w:hint="eastAsia" w:ascii="宋体" w:hAnsi="宋体" w:cs="宋体"/>
          <w:color w:val="auto"/>
          <w:spacing w:val="-6"/>
          <w:highlight w:val="none"/>
        </w:rPr>
        <w:t>提出附加条件，或者不按照</w:t>
      </w:r>
      <w:r>
        <w:rPr>
          <w:rFonts w:hint="eastAsia" w:ascii="宋体" w:hAnsi="宋体" w:cs="宋体"/>
          <w:color w:val="auto"/>
          <w:highlight w:val="none"/>
        </w:rPr>
        <w:t>招标</w:t>
      </w:r>
      <w:r>
        <w:rPr>
          <w:rFonts w:hint="eastAsia" w:ascii="宋体" w:hAnsi="宋体" w:cs="宋体"/>
          <w:color w:val="auto"/>
          <w:spacing w:val="-6"/>
          <w:highlight w:val="none"/>
        </w:rPr>
        <w:t>文件要求递交履约保证金的，</w:t>
      </w:r>
      <w:r>
        <w:rPr>
          <w:rFonts w:hint="eastAsia" w:ascii="宋体" w:hAnsi="宋体" w:cs="宋体"/>
          <w:color w:val="auto"/>
          <w:highlight w:val="none"/>
        </w:rPr>
        <w:t>采购人</w:t>
      </w:r>
      <w:r>
        <w:rPr>
          <w:rFonts w:hint="eastAsia" w:ascii="宋体" w:hAnsi="宋体" w:cs="宋体"/>
          <w:color w:val="auto"/>
          <w:spacing w:val="-6"/>
          <w:highlight w:val="none"/>
        </w:rPr>
        <w:t>取</w:t>
      </w:r>
      <w:r>
        <w:rPr>
          <w:rFonts w:hint="eastAsia" w:ascii="宋体" w:hAnsi="宋体" w:cs="宋体"/>
          <w:color w:val="auto"/>
          <w:spacing w:val="-11"/>
          <w:highlight w:val="none"/>
        </w:rPr>
        <w:t>消其成交资格，其响应保证金不予退还</w:t>
      </w:r>
      <w:r>
        <w:rPr>
          <w:rFonts w:ascii="宋体" w:hAnsi="宋体" w:cs="宋体"/>
          <w:color w:val="auto"/>
          <w:spacing w:val="-11"/>
          <w:highlight w:val="none"/>
        </w:rPr>
        <w:t>;</w:t>
      </w:r>
      <w:r>
        <w:rPr>
          <w:rFonts w:hint="eastAsia" w:ascii="宋体" w:hAnsi="宋体" w:cs="宋体"/>
          <w:color w:val="auto"/>
          <w:spacing w:val="-11"/>
          <w:highlight w:val="none"/>
        </w:rPr>
        <w:t>给</w:t>
      </w:r>
      <w:r>
        <w:rPr>
          <w:rFonts w:hint="eastAsia" w:ascii="宋体" w:hAnsi="宋体" w:cs="宋体"/>
          <w:color w:val="auto"/>
          <w:highlight w:val="none"/>
        </w:rPr>
        <w:t>采购人</w:t>
      </w:r>
      <w:r>
        <w:rPr>
          <w:rFonts w:hint="eastAsia" w:ascii="宋体" w:hAnsi="宋体" w:cs="宋体"/>
          <w:color w:val="auto"/>
          <w:spacing w:val="-11"/>
          <w:highlight w:val="none"/>
        </w:rPr>
        <w:t>造成的损失超过响应保证金数额的，成</w:t>
      </w:r>
      <w:r>
        <w:rPr>
          <w:rFonts w:hint="eastAsia" w:ascii="宋体" w:hAnsi="宋体" w:cs="宋体"/>
          <w:color w:val="auto"/>
          <w:highlight w:val="none"/>
        </w:rPr>
        <w:t>交询比响应人还应当对超过部分予以赔偿。</w:t>
      </w:r>
    </w:p>
    <w:p w14:paraId="641874DA">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7.7.2 </w:t>
      </w:r>
      <w:r>
        <w:rPr>
          <w:rFonts w:hint="eastAsia" w:ascii="宋体" w:hAnsi="宋体" w:cs="宋体"/>
          <w:color w:val="auto"/>
          <w:highlight w:val="none"/>
        </w:rPr>
        <w:t>发出成交通知书后，采购人无正当理由拒绝签订合同，或者在签订合同时向成交询比响应人提出附加条件的，采购人向成交询比响应人退还响应保证金</w:t>
      </w:r>
      <w:r>
        <w:rPr>
          <w:rFonts w:ascii="宋体" w:hAnsi="宋体" w:cs="宋体"/>
          <w:color w:val="auto"/>
          <w:highlight w:val="none"/>
        </w:rPr>
        <w:t>;</w:t>
      </w:r>
      <w:r>
        <w:rPr>
          <w:rFonts w:hint="eastAsia" w:ascii="宋体" w:hAnsi="宋体" w:cs="宋体"/>
          <w:color w:val="auto"/>
          <w:highlight w:val="none"/>
        </w:rPr>
        <w:t>给成交询比响应人造成损失的，还应当赔偿损失。</w:t>
      </w:r>
    </w:p>
    <w:p w14:paraId="7EBF25BF">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7.7.3 </w:t>
      </w:r>
      <w:r>
        <w:rPr>
          <w:rFonts w:hint="eastAsia" w:ascii="宋体" w:hAnsi="宋体" w:cs="宋体"/>
          <w:color w:val="auto"/>
          <w:highlight w:val="none"/>
        </w:rPr>
        <w:t>联合体成交的，联合体各方应当共同与采购人签订合同，就成交项目向采购人承担连带责任。</w:t>
      </w:r>
    </w:p>
    <w:p w14:paraId="08350226">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7.7.4 </w:t>
      </w:r>
      <w:r>
        <w:rPr>
          <w:rFonts w:hint="eastAsia" w:ascii="宋体" w:hAnsi="宋体" w:cs="宋体"/>
          <w:color w:val="auto"/>
          <w:highlight w:val="none"/>
        </w:rPr>
        <w:t>除询比响应人须知前附表另有规定外，按照第三章</w:t>
      </w:r>
      <w:r>
        <w:rPr>
          <w:rFonts w:ascii="宋体" w:hAnsi="宋体" w:cs="宋体"/>
          <w:color w:val="auto"/>
          <w:highlight w:val="none"/>
        </w:rPr>
        <w:t>"</w:t>
      </w:r>
      <w:r>
        <w:rPr>
          <w:rFonts w:hint="eastAsia" w:ascii="宋体" w:hAnsi="宋体" w:cs="宋体"/>
          <w:color w:val="auto"/>
          <w:highlight w:val="none"/>
        </w:rPr>
        <w:t>评审办法</w:t>
      </w:r>
      <w:r>
        <w:rPr>
          <w:rFonts w:ascii="宋体" w:hAnsi="宋体" w:cs="宋体"/>
          <w:color w:val="auto"/>
          <w:highlight w:val="none"/>
        </w:rPr>
        <w:t>"</w:t>
      </w:r>
      <w:r>
        <w:rPr>
          <w:rFonts w:hint="eastAsia" w:ascii="宋体" w:hAnsi="宋体" w:cs="宋体"/>
          <w:color w:val="auto"/>
          <w:highlight w:val="none"/>
        </w:rPr>
        <w:t>第</w:t>
      </w:r>
      <w:r>
        <w:rPr>
          <w:rFonts w:ascii="宋体" w:hAnsi="宋体" w:cs="宋体"/>
          <w:color w:val="auto"/>
          <w:highlight w:val="none"/>
        </w:rPr>
        <w:t>2.2.3</w:t>
      </w:r>
      <w:r>
        <w:rPr>
          <w:rFonts w:hint="eastAsia" w:ascii="宋体" w:hAnsi="宋体" w:cs="宋体"/>
          <w:color w:val="auto"/>
          <w:highlight w:val="none"/>
        </w:rPr>
        <w:t>项规定对最终报价进行修正后，若修正后的最终报价小于按照第三章</w:t>
      </w:r>
      <w:r>
        <w:rPr>
          <w:rFonts w:ascii="宋体" w:hAnsi="宋体" w:cs="宋体"/>
          <w:color w:val="auto"/>
          <w:highlight w:val="none"/>
        </w:rPr>
        <w:t>"</w:t>
      </w:r>
      <w:r>
        <w:rPr>
          <w:rFonts w:hint="eastAsia" w:ascii="宋体" w:hAnsi="宋体" w:cs="宋体"/>
          <w:color w:val="auto"/>
          <w:highlight w:val="none"/>
        </w:rPr>
        <w:t>评审办法</w:t>
      </w:r>
      <w:r>
        <w:rPr>
          <w:rFonts w:ascii="宋体" w:hAnsi="宋体" w:cs="宋体"/>
          <w:color w:val="auto"/>
          <w:highlight w:val="none"/>
        </w:rPr>
        <w:t>"</w:t>
      </w:r>
      <w:r>
        <w:rPr>
          <w:rFonts w:hint="eastAsia" w:ascii="宋体" w:hAnsi="宋体" w:cs="宋体"/>
          <w:color w:val="auto"/>
          <w:highlight w:val="none"/>
        </w:rPr>
        <w:t>第</w:t>
      </w:r>
      <w:r>
        <w:rPr>
          <w:rFonts w:ascii="宋体" w:hAnsi="宋体" w:cs="宋体"/>
          <w:color w:val="auto"/>
          <w:highlight w:val="none"/>
        </w:rPr>
        <w:t>2.2.2</w:t>
      </w:r>
      <w:r>
        <w:rPr>
          <w:rFonts w:hint="eastAsia" w:ascii="宋体" w:hAnsi="宋体" w:cs="宋体"/>
          <w:color w:val="auto"/>
          <w:highlight w:val="none"/>
        </w:rPr>
        <w:t>项规定确定的评审价格，则签订合同时以修正后的最终报价为准</w:t>
      </w:r>
      <w:r>
        <w:rPr>
          <w:rFonts w:ascii="宋体" w:hAnsi="宋体" w:cs="宋体"/>
          <w:color w:val="auto"/>
          <w:highlight w:val="none"/>
        </w:rPr>
        <w:t>;</w:t>
      </w:r>
      <w:r>
        <w:rPr>
          <w:rFonts w:hint="eastAsia" w:ascii="宋体" w:hAnsi="宋体" w:cs="宋体"/>
          <w:color w:val="auto"/>
          <w:highlight w:val="none"/>
        </w:rPr>
        <w:t>若修正后的响应报价大于评审价格，则签订合同时以评审价格为准，同时按比例修正相应子目的单价或合价（招标文件不允许调整的费率和金额除外）。</w:t>
      </w:r>
    </w:p>
    <w:p w14:paraId="67AEBA40">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7.8 </w:t>
      </w:r>
      <w:r>
        <w:rPr>
          <w:rFonts w:hint="eastAsia" w:ascii="宋体" w:hAnsi="宋体" w:cs="宋体"/>
          <w:color w:val="auto"/>
          <w:highlight w:val="none"/>
        </w:rPr>
        <w:t>特殊情形处理</w:t>
      </w:r>
    </w:p>
    <w:p w14:paraId="4129C0C5">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因询比响应人对预成交结果提出异议、成交询比响应人无正当理由拒绝签订合同、成交询比响应人在签订合同时向采购人提出附加条件或者不按照招标文件要求递交履约保证金等导致采购人变更成交结果的，采购人应按照本条规定的程序重新选择确定预成交询比响应人、进行公示并公告。</w:t>
      </w:r>
    </w:p>
    <w:p w14:paraId="67808EB7">
      <w:pPr>
        <w:pStyle w:val="3"/>
        <w:rPr>
          <w:rFonts w:ascii="宋体" w:cs="Times New Roman"/>
          <w:color w:val="auto"/>
          <w:highlight w:val="none"/>
        </w:rPr>
      </w:pPr>
      <w:bookmarkStart w:id="40" w:name="_Toc28641"/>
      <w:r>
        <w:rPr>
          <w:rFonts w:ascii="宋体" w:hAnsi="宋体" w:cs="宋体"/>
          <w:color w:val="auto"/>
          <w:highlight w:val="none"/>
        </w:rPr>
        <w:t xml:space="preserve">8 </w:t>
      </w:r>
      <w:r>
        <w:rPr>
          <w:rFonts w:hint="eastAsia" w:ascii="宋体" w:hAnsi="宋体" w:cs="宋体"/>
          <w:color w:val="auto"/>
          <w:highlight w:val="none"/>
        </w:rPr>
        <w:t>异议</w:t>
      </w:r>
      <w:bookmarkEnd w:id="40"/>
    </w:p>
    <w:p w14:paraId="62A84BFB">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8.1 </w:t>
      </w:r>
      <w:r>
        <w:rPr>
          <w:rFonts w:hint="eastAsia" w:ascii="宋体" w:hAnsi="宋体" w:cs="宋体"/>
          <w:color w:val="auto"/>
          <w:highlight w:val="none"/>
        </w:rPr>
        <w:t>提出异议</w:t>
      </w:r>
    </w:p>
    <w:p w14:paraId="13EBED10">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询比响应人或者其他利害关系人可以对预成交结果提出异议。异议应在预成交结果公示期间通过询比响应人须知前附表规定的异议渠道提出，并递交异议函和必要的证明材料。异议函包括但不限于下列内容∶</w:t>
      </w:r>
    </w:p>
    <w:p w14:paraId="42C5F8BF">
      <w:pPr>
        <w:pStyle w:val="18"/>
        <w:widowControl/>
        <w:numPr>
          <w:ilvl w:val="0"/>
          <w:numId w:val="4"/>
        </w:numPr>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异议人名称、地址、邮政编码、联系人及联系电话</w:t>
      </w:r>
      <w:r>
        <w:rPr>
          <w:rFonts w:ascii="宋体" w:hAnsi="宋体" w:cs="宋体"/>
          <w:color w:val="auto"/>
          <w:highlight w:val="none"/>
        </w:rPr>
        <w:t>;</w:t>
      </w:r>
    </w:p>
    <w:p w14:paraId="566218B5">
      <w:pPr>
        <w:pStyle w:val="18"/>
        <w:widowControl/>
        <w:spacing w:beforeAutospacing="0" w:afterAutospacing="0" w:line="360" w:lineRule="auto"/>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）具体、明确的异议事项、事实依据及与异议事项相关的请求。</w:t>
      </w:r>
    </w:p>
    <w:p w14:paraId="319FF6F4">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异议函应由异议人的法定代表人（单位负责人）或其授权的代理人签字并加盖单位章。</w:t>
      </w:r>
    </w:p>
    <w:p w14:paraId="0AFDC8AC">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8.2 </w:t>
      </w:r>
      <w:r>
        <w:rPr>
          <w:rFonts w:hint="eastAsia" w:ascii="宋体" w:hAnsi="宋体" w:cs="宋体"/>
          <w:color w:val="auto"/>
          <w:highlight w:val="none"/>
        </w:rPr>
        <w:t>异议处理</w:t>
      </w:r>
    </w:p>
    <w:p w14:paraId="7B0FC3F5">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采购人将针对异议事项进行核查，经过核查，发现异议人对相关问题理解有误的，应作出解释</w:t>
      </w:r>
      <w:r>
        <w:rPr>
          <w:rFonts w:ascii="宋体" w:hAnsi="宋体" w:cs="宋体"/>
          <w:color w:val="auto"/>
          <w:highlight w:val="none"/>
        </w:rPr>
        <w:t>;</w:t>
      </w:r>
      <w:r>
        <w:rPr>
          <w:rFonts w:hint="eastAsia" w:ascii="宋体" w:hAnsi="宋体" w:cs="宋体"/>
          <w:color w:val="auto"/>
          <w:highlight w:val="none"/>
        </w:rPr>
        <w:t>发现招标活动中确实存在错误或不当行为的，应及时予以改正或补救。</w:t>
      </w:r>
    </w:p>
    <w:p w14:paraId="6EDBD634">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异议人与采购人对异议事项无法达成一致的，异议人可向询比响应人须知前附表规定的行业组织或专业咨询机构申请调解或进行反映。</w:t>
      </w:r>
    </w:p>
    <w:p w14:paraId="24DA1F53">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采购人认为异议不成立或不影响招标结果的，可以继续进行招标活动。</w:t>
      </w:r>
    </w:p>
    <w:p w14:paraId="099AB526">
      <w:pPr>
        <w:pStyle w:val="3"/>
        <w:rPr>
          <w:rFonts w:ascii="宋体" w:cs="Times New Roman"/>
          <w:color w:val="auto"/>
          <w:highlight w:val="none"/>
        </w:rPr>
      </w:pPr>
      <w:bookmarkStart w:id="41" w:name="_Toc12200"/>
      <w:r>
        <w:rPr>
          <w:rFonts w:ascii="宋体" w:hAnsi="宋体" w:cs="宋体"/>
          <w:color w:val="auto"/>
          <w:highlight w:val="none"/>
        </w:rPr>
        <w:t>9</w:t>
      </w:r>
      <w:r>
        <w:rPr>
          <w:rFonts w:hint="eastAsia" w:ascii="宋体" w:hAnsi="宋体" w:cs="宋体"/>
          <w:color w:val="auto"/>
          <w:highlight w:val="none"/>
        </w:rPr>
        <w:t>纪律要求</w:t>
      </w:r>
      <w:bookmarkEnd w:id="41"/>
    </w:p>
    <w:p w14:paraId="021C43C3">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9.1</w:t>
      </w:r>
      <w:r>
        <w:rPr>
          <w:rFonts w:hint="eastAsia" w:ascii="宋体" w:hAnsi="宋体" w:cs="宋体"/>
          <w:color w:val="auto"/>
          <w:highlight w:val="none"/>
        </w:rPr>
        <w:t>对采购人的纪律要求</w:t>
      </w:r>
    </w:p>
    <w:p w14:paraId="5CC46671">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采购人不得泄露询比招标活动中应当保密的情况和资料，不得与询比响应人串通损害国家利益、社会公共利益或者他人合法权益。</w:t>
      </w:r>
    </w:p>
    <w:p w14:paraId="2E25A51A">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9.2</w:t>
      </w:r>
      <w:r>
        <w:rPr>
          <w:rFonts w:hint="eastAsia" w:ascii="宋体" w:hAnsi="宋体" w:cs="宋体"/>
          <w:color w:val="auto"/>
          <w:highlight w:val="none"/>
        </w:rPr>
        <w:t>对询比响应人的纪律要求</w:t>
      </w:r>
    </w:p>
    <w:p w14:paraId="302C899E">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采购人不得泄露询比招标活动中应当保密的情况和资料，不得与询比响应人串通损害国家利益、社会公共利益或者他人合法权益。</w:t>
      </w:r>
    </w:p>
    <w:p w14:paraId="158488A9">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9.3</w:t>
      </w:r>
      <w:r>
        <w:rPr>
          <w:rFonts w:hint="eastAsia" w:ascii="宋体" w:hAnsi="宋体" w:cs="宋体"/>
          <w:color w:val="auto"/>
          <w:highlight w:val="none"/>
        </w:rPr>
        <w:t>对评审小组成员的纪律要求</w:t>
      </w:r>
    </w:p>
    <w:p w14:paraId="510CCAFF">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评审小组成员不得收受他人的财物或者其他好处，不得向他人透露对响应文件的评审和比较、候选成交询比响应人的推荐情况以及评审有关的其他情况。在评审活动中，评审小组成员应当客观、公正地履行职责，遵守职业道德，不得擅离职守、影响评审工作正常进行，不得使用第三章</w:t>
      </w:r>
      <w:r>
        <w:rPr>
          <w:rFonts w:ascii="宋体" w:hAnsi="宋体" w:cs="宋体"/>
          <w:color w:val="auto"/>
          <w:highlight w:val="none"/>
        </w:rPr>
        <w:t>"</w:t>
      </w:r>
      <w:r>
        <w:rPr>
          <w:rFonts w:hint="eastAsia" w:ascii="宋体" w:hAnsi="宋体" w:cs="宋体"/>
          <w:color w:val="auto"/>
          <w:highlight w:val="none"/>
        </w:rPr>
        <w:t>评审办法</w:t>
      </w:r>
      <w:r>
        <w:rPr>
          <w:rFonts w:ascii="宋体" w:hAnsi="宋体" w:cs="宋体"/>
          <w:color w:val="auto"/>
          <w:highlight w:val="none"/>
        </w:rPr>
        <w:t>"</w:t>
      </w:r>
      <w:r>
        <w:rPr>
          <w:rFonts w:hint="eastAsia" w:ascii="宋体" w:hAnsi="宋体" w:cs="宋体"/>
          <w:color w:val="auto"/>
          <w:highlight w:val="none"/>
        </w:rPr>
        <w:t>没有规定的评审因素和标准进行评审。</w:t>
      </w:r>
    </w:p>
    <w:p w14:paraId="056743FA">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9.4 </w:t>
      </w:r>
      <w:r>
        <w:rPr>
          <w:rFonts w:hint="eastAsia" w:ascii="宋体" w:hAnsi="宋体" w:cs="宋体"/>
          <w:color w:val="auto"/>
          <w:highlight w:val="none"/>
        </w:rPr>
        <w:t>对与询比活动有关的工作人员的纪律要求</w:t>
      </w:r>
    </w:p>
    <w:p w14:paraId="560825FD">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与询比活动有关的工作人员不得收受他人的财物或者其他好处，不得向他人透露对响应文件的评审和比较、候选成交询比响应人的推荐情况以及询比有关的其他情况。在询比活动中，与询比活动有关的工作人员不得擅离职守，影响评审工作正常进行。</w:t>
      </w:r>
    </w:p>
    <w:p w14:paraId="512B3BF7">
      <w:pPr>
        <w:pStyle w:val="3"/>
        <w:rPr>
          <w:rFonts w:ascii="宋体" w:cs="Times New Roman"/>
          <w:color w:val="auto"/>
          <w:highlight w:val="none"/>
        </w:rPr>
      </w:pPr>
      <w:bookmarkStart w:id="42" w:name="_Toc7454"/>
      <w:r>
        <w:rPr>
          <w:rFonts w:ascii="宋体" w:hAnsi="宋体" w:cs="宋体"/>
          <w:color w:val="auto"/>
          <w:highlight w:val="none"/>
        </w:rPr>
        <w:t xml:space="preserve">10 </w:t>
      </w:r>
      <w:r>
        <w:rPr>
          <w:rFonts w:hint="eastAsia" w:ascii="宋体" w:hAnsi="宋体" w:cs="宋体"/>
          <w:color w:val="auto"/>
          <w:highlight w:val="none"/>
        </w:rPr>
        <w:t>需要补充的其他内容</w:t>
      </w:r>
      <w:bookmarkEnd w:id="42"/>
    </w:p>
    <w:p w14:paraId="789BBFEF">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10.1 </w:t>
      </w:r>
      <w:r>
        <w:rPr>
          <w:rFonts w:hint="eastAsia" w:ascii="宋体" w:hAnsi="宋体" w:cs="宋体"/>
          <w:color w:val="auto"/>
          <w:highlight w:val="none"/>
        </w:rPr>
        <w:t>招标代理服务费</w:t>
      </w:r>
    </w:p>
    <w:p w14:paraId="669CA09B">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询比响应人须知前附表规定由询比响应人承担招标代理服务费的，询比响应人应按照询比响应人须知前附表规定的费用标准或金额、交费时间和方式向采购代理机构支付代理服务费。</w:t>
      </w:r>
    </w:p>
    <w:p w14:paraId="448388D0">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10.2</w:t>
      </w:r>
      <w:r>
        <w:rPr>
          <w:rFonts w:hint="eastAsia" w:ascii="宋体" w:hAnsi="宋体" w:cs="宋体"/>
          <w:color w:val="auto"/>
          <w:highlight w:val="none"/>
        </w:rPr>
        <w:t>其他</w:t>
      </w:r>
    </w:p>
    <w:p w14:paraId="02CBCD63">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需要补充的其他内容∶见询比响应人须知前附表。</w:t>
      </w:r>
    </w:p>
    <w:p w14:paraId="54B9CEF4">
      <w:pPr>
        <w:pStyle w:val="18"/>
        <w:widowControl/>
        <w:spacing w:beforeAutospacing="0" w:afterAutospacing="0" w:line="360" w:lineRule="auto"/>
        <w:rPr>
          <w:rFonts w:ascii="宋体" w:cs="Times New Roman"/>
          <w:color w:val="auto"/>
          <w:highlight w:val="none"/>
        </w:rPr>
      </w:pPr>
    </w:p>
    <w:p w14:paraId="100FA79E">
      <w:pPr>
        <w:pStyle w:val="18"/>
        <w:widowControl/>
        <w:spacing w:beforeAutospacing="0" w:afterAutospacing="0" w:line="360" w:lineRule="auto"/>
        <w:rPr>
          <w:rFonts w:ascii="宋体" w:cs="Times New Roman"/>
          <w:color w:val="auto"/>
          <w:highlight w:val="none"/>
        </w:rPr>
      </w:pPr>
      <w:r>
        <w:rPr>
          <w:rFonts w:ascii="宋体" w:cs="Times New Roman"/>
          <w:color w:val="auto"/>
          <w:sz w:val="21"/>
          <w:szCs w:val="21"/>
          <w:highlight w:val="none"/>
        </w:rPr>
        <w:br w:type="page"/>
      </w:r>
    </w:p>
    <w:p w14:paraId="771837D0">
      <w:pPr>
        <w:pStyle w:val="3"/>
        <w:jc w:val="left"/>
        <w:rPr>
          <w:rFonts w:hint="eastAsia" w:ascii="宋体" w:hAnsi="宋体" w:cs="宋体"/>
          <w:color w:val="auto"/>
          <w:highlight w:val="none"/>
        </w:rPr>
      </w:pPr>
      <w:bookmarkStart w:id="43" w:name="_Toc19654"/>
      <w:r>
        <w:rPr>
          <w:rFonts w:hint="eastAsia" w:ascii="宋体" w:hAnsi="宋体" w:cs="宋体"/>
          <w:color w:val="auto"/>
          <w:highlight w:val="none"/>
        </w:rPr>
        <w:t>附件1 开启记录表</w:t>
      </w:r>
      <w:bookmarkEnd w:id="43"/>
    </w:p>
    <w:p w14:paraId="75CB634F">
      <w:pPr>
        <w:pStyle w:val="18"/>
        <w:widowControl/>
        <w:spacing w:beforeAutospacing="0" w:afterAutospacing="0" w:line="360" w:lineRule="auto"/>
        <w:jc w:val="center"/>
        <w:rPr>
          <w:rFonts w:ascii="宋体" w:cs="Times New Roman"/>
          <w:color w:val="auto"/>
          <w:sz w:val="36"/>
          <w:szCs w:val="36"/>
          <w:highlight w:val="none"/>
        </w:rPr>
      </w:pPr>
      <w:r>
        <w:rPr>
          <w:rFonts w:hint="eastAsia" w:ascii="宋体" w:hAnsi="宋体" w:cs="宋体"/>
          <w:color w:val="auto"/>
          <w:sz w:val="36"/>
          <w:szCs w:val="36"/>
          <w:highlight w:val="none"/>
        </w:rPr>
        <w:t>开启记录表</w:t>
      </w:r>
    </w:p>
    <w:p w14:paraId="2EA5C6DC">
      <w:pPr>
        <w:pStyle w:val="18"/>
        <w:widowControl/>
        <w:spacing w:beforeAutospacing="0" w:afterAutospacing="0" w:line="360" w:lineRule="auto"/>
        <w:jc w:val="center"/>
        <w:rPr>
          <w:rFonts w:ascii="宋体" w:cs="Times New Roman"/>
          <w:color w:val="auto"/>
          <w:highlight w:val="none"/>
        </w:rPr>
      </w:pPr>
    </w:p>
    <w:p w14:paraId="6B7347B5">
      <w:pPr>
        <w:pStyle w:val="18"/>
        <w:widowControl/>
        <w:spacing w:beforeAutospacing="0" w:afterAutospacing="0" w:line="360" w:lineRule="auto"/>
        <w:jc w:val="center"/>
        <w:rPr>
          <w:rFonts w:ascii="宋体" w:cs="Times New Roman"/>
          <w:color w:val="auto"/>
          <w:sz w:val="21"/>
          <w:szCs w:val="21"/>
          <w:highlight w:val="none"/>
        </w:rPr>
      </w:pPr>
      <w:r>
        <w:rPr>
          <w:rFonts w:hint="eastAsia" w:ascii="宋体" w:hAnsi="宋体" w:cs="宋体"/>
          <w:color w:val="auto"/>
          <w:sz w:val="21"/>
          <w:szCs w:val="21"/>
          <w:highlight w:val="none"/>
        </w:rPr>
        <w:t>开启时间∶年月时分</w:t>
      </w:r>
    </w:p>
    <w:tbl>
      <w:tblPr>
        <w:tblStyle w:val="20"/>
        <w:tblW w:w="975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250"/>
        <w:gridCol w:w="1819"/>
        <w:gridCol w:w="3096"/>
        <w:gridCol w:w="845"/>
        <w:gridCol w:w="1889"/>
      </w:tblGrid>
      <w:tr w14:paraId="2DAE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58" w:type="dxa"/>
            <w:vAlign w:val="center"/>
          </w:tcPr>
          <w:p w14:paraId="041301EA">
            <w:pPr>
              <w:pStyle w:val="18"/>
              <w:widowControl/>
              <w:spacing w:beforeAutospacing="0" w:afterAutospacing="0" w:line="360" w:lineRule="auto"/>
              <w:jc w:val="center"/>
              <w:rPr>
                <w:rFonts w:ascii="宋体" w:cs="Times New Roman"/>
                <w:color w:val="auto"/>
                <w:sz w:val="21"/>
                <w:szCs w:val="21"/>
                <w:highlight w:val="none"/>
              </w:rPr>
            </w:pPr>
            <w:r>
              <w:rPr>
                <w:rFonts w:hint="eastAsia" w:ascii="宋体" w:hAnsi="宋体" w:cs="宋体"/>
                <w:color w:val="auto"/>
                <w:sz w:val="21"/>
                <w:szCs w:val="21"/>
                <w:highlight w:val="none"/>
              </w:rPr>
              <w:t>序号</w:t>
            </w:r>
          </w:p>
        </w:tc>
        <w:tc>
          <w:tcPr>
            <w:tcW w:w="1250" w:type="dxa"/>
            <w:vAlign w:val="center"/>
          </w:tcPr>
          <w:p w14:paraId="0C5E3A31">
            <w:pPr>
              <w:pStyle w:val="18"/>
              <w:widowControl/>
              <w:spacing w:beforeAutospacing="0" w:afterAutospacing="0" w:line="360" w:lineRule="auto"/>
              <w:jc w:val="center"/>
              <w:rPr>
                <w:rFonts w:ascii="宋体" w:cs="Times New Roman"/>
                <w:color w:val="auto"/>
                <w:sz w:val="21"/>
                <w:szCs w:val="21"/>
                <w:highlight w:val="none"/>
              </w:rPr>
            </w:pPr>
            <w:r>
              <w:rPr>
                <w:rFonts w:hint="eastAsia" w:ascii="宋体" w:hAnsi="宋体" w:cs="宋体"/>
                <w:color w:val="auto"/>
                <w:sz w:val="21"/>
                <w:szCs w:val="21"/>
                <w:highlight w:val="none"/>
              </w:rPr>
              <w:t>询比响应人</w:t>
            </w:r>
          </w:p>
        </w:tc>
        <w:tc>
          <w:tcPr>
            <w:tcW w:w="1819" w:type="dxa"/>
            <w:vAlign w:val="center"/>
          </w:tcPr>
          <w:p w14:paraId="0B72A4B2">
            <w:pPr>
              <w:pStyle w:val="18"/>
              <w:widowControl/>
              <w:spacing w:beforeAutospacing="0" w:afterAutospacing="0" w:line="360" w:lineRule="auto"/>
              <w:jc w:val="center"/>
              <w:rPr>
                <w:rFonts w:ascii="宋体" w:cs="Times New Roman"/>
                <w:color w:val="auto"/>
                <w:sz w:val="21"/>
                <w:szCs w:val="21"/>
                <w:highlight w:val="none"/>
              </w:rPr>
            </w:pPr>
            <w:r>
              <w:rPr>
                <w:rFonts w:hint="eastAsia" w:ascii="宋体" w:hAnsi="宋体" w:cs="宋体"/>
                <w:color w:val="auto"/>
                <w:sz w:val="21"/>
                <w:szCs w:val="21"/>
                <w:highlight w:val="none"/>
              </w:rPr>
              <w:t>响应报价</w:t>
            </w:r>
          </w:p>
        </w:tc>
        <w:tc>
          <w:tcPr>
            <w:tcW w:w="3096" w:type="dxa"/>
            <w:vAlign w:val="center"/>
          </w:tcPr>
          <w:p w14:paraId="3C5C56C8">
            <w:pPr>
              <w:pStyle w:val="18"/>
              <w:widowControl/>
              <w:spacing w:beforeAutospacing="0" w:afterAutospacing="0" w:line="360" w:lineRule="auto"/>
              <w:jc w:val="center"/>
              <w:rPr>
                <w:rFonts w:ascii="宋体" w:cs="Times New Roman"/>
                <w:color w:val="auto"/>
                <w:sz w:val="21"/>
                <w:szCs w:val="21"/>
                <w:highlight w:val="none"/>
              </w:rPr>
            </w:pPr>
            <w:r>
              <w:rPr>
                <w:rFonts w:hint="eastAsia" w:ascii="宋体" w:hAnsi="宋体" w:cs="宋体"/>
                <w:color w:val="auto"/>
                <w:sz w:val="21"/>
                <w:szCs w:val="21"/>
                <w:highlight w:val="none"/>
              </w:rPr>
              <w:t>（询比响应人须知前附表规定的其他应公布的信息）</w:t>
            </w:r>
          </w:p>
        </w:tc>
        <w:tc>
          <w:tcPr>
            <w:tcW w:w="845" w:type="dxa"/>
            <w:vAlign w:val="center"/>
          </w:tcPr>
          <w:p w14:paraId="62B00AC6">
            <w:pPr>
              <w:pStyle w:val="18"/>
              <w:widowControl/>
              <w:spacing w:beforeAutospacing="0" w:afterAutospacing="0" w:line="360" w:lineRule="auto"/>
              <w:jc w:val="center"/>
              <w:rPr>
                <w:rFonts w:ascii="宋体" w:cs="Times New Roman"/>
                <w:color w:val="auto"/>
                <w:sz w:val="21"/>
                <w:szCs w:val="21"/>
                <w:highlight w:val="none"/>
              </w:rPr>
            </w:pPr>
            <w:r>
              <w:rPr>
                <w:rFonts w:hint="eastAsia" w:ascii="宋体" w:hAnsi="宋体" w:cs="宋体"/>
                <w:color w:val="auto"/>
                <w:sz w:val="21"/>
                <w:szCs w:val="21"/>
                <w:highlight w:val="none"/>
              </w:rPr>
              <w:t>备注</w:t>
            </w:r>
          </w:p>
        </w:tc>
        <w:tc>
          <w:tcPr>
            <w:tcW w:w="1889" w:type="dxa"/>
            <w:vAlign w:val="center"/>
          </w:tcPr>
          <w:p w14:paraId="58DB712B">
            <w:pPr>
              <w:pStyle w:val="18"/>
              <w:widowControl/>
              <w:spacing w:beforeAutospacing="0" w:afterAutospacing="0" w:line="360" w:lineRule="auto"/>
              <w:jc w:val="center"/>
              <w:rPr>
                <w:rFonts w:ascii="宋体" w:cs="Times New Roman"/>
                <w:color w:val="auto"/>
                <w:sz w:val="21"/>
                <w:szCs w:val="21"/>
                <w:highlight w:val="none"/>
              </w:rPr>
            </w:pPr>
            <w:r>
              <w:rPr>
                <w:rFonts w:hint="eastAsia" w:ascii="宋体" w:hAnsi="宋体" w:cs="宋体"/>
                <w:color w:val="auto"/>
                <w:sz w:val="21"/>
                <w:szCs w:val="21"/>
                <w:highlight w:val="none"/>
              </w:rPr>
              <w:t>询比响应人代表签名</w:t>
            </w:r>
          </w:p>
        </w:tc>
      </w:tr>
      <w:tr w14:paraId="7161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8" w:type="dxa"/>
            <w:vAlign w:val="center"/>
          </w:tcPr>
          <w:p w14:paraId="32DA04CB">
            <w:pPr>
              <w:pStyle w:val="18"/>
              <w:widowControl/>
              <w:spacing w:beforeAutospacing="0" w:afterAutospacing="0" w:line="360" w:lineRule="auto"/>
              <w:jc w:val="center"/>
              <w:rPr>
                <w:rFonts w:ascii="宋体" w:cs="Times New Roman"/>
                <w:color w:val="auto"/>
                <w:sz w:val="21"/>
                <w:szCs w:val="21"/>
                <w:highlight w:val="none"/>
              </w:rPr>
            </w:pPr>
          </w:p>
        </w:tc>
        <w:tc>
          <w:tcPr>
            <w:tcW w:w="1250" w:type="dxa"/>
            <w:vAlign w:val="center"/>
          </w:tcPr>
          <w:p w14:paraId="375E1550">
            <w:pPr>
              <w:pStyle w:val="18"/>
              <w:widowControl/>
              <w:spacing w:beforeAutospacing="0" w:afterAutospacing="0" w:line="360" w:lineRule="auto"/>
              <w:jc w:val="center"/>
              <w:rPr>
                <w:rFonts w:ascii="宋体" w:cs="Times New Roman"/>
                <w:color w:val="auto"/>
                <w:sz w:val="21"/>
                <w:szCs w:val="21"/>
                <w:highlight w:val="none"/>
              </w:rPr>
            </w:pPr>
          </w:p>
        </w:tc>
        <w:tc>
          <w:tcPr>
            <w:tcW w:w="1819" w:type="dxa"/>
            <w:vAlign w:val="center"/>
          </w:tcPr>
          <w:p w14:paraId="60693021">
            <w:pPr>
              <w:pStyle w:val="18"/>
              <w:widowControl/>
              <w:spacing w:beforeAutospacing="0" w:afterAutospacing="0" w:line="360" w:lineRule="auto"/>
              <w:jc w:val="center"/>
              <w:rPr>
                <w:rFonts w:ascii="宋体" w:cs="Times New Roman"/>
                <w:color w:val="auto"/>
                <w:sz w:val="21"/>
                <w:szCs w:val="21"/>
                <w:highlight w:val="none"/>
              </w:rPr>
            </w:pPr>
          </w:p>
        </w:tc>
        <w:tc>
          <w:tcPr>
            <w:tcW w:w="3096" w:type="dxa"/>
            <w:vAlign w:val="center"/>
          </w:tcPr>
          <w:p w14:paraId="2FA8052F">
            <w:pPr>
              <w:pStyle w:val="18"/>
              <w:widowControl/>
              <w:spacing w:beforeAutospacing="0" w:afterAutospacing="0" w:line="360" w:lineRule="auto"/>
              <w:jc w:val="center"/>
              <w:rPr>
                <w:rFonts w:ascii="宋体" w:cs="Times New Roman"/>
                <w:color w:val="auto"/>
                <w:sz w:val="21"/>
                <w:szCs w:val="21"/>
                <w:highlight w:val="none"/>
              </w:rPr>
            </w:pPr>
          </w:p>
        </w:tc>
        <w:tc>
          <w:tcPr>
            <w:tcW w:w="845" w:type="dxa"/>
            <w:vAlign w:val="center"/>
          </w:tcPr>
          <w:p w14:paraId="7AEBC26B">
            <w:pPr>
              <w:pStyle w:val="18"/>
              <w:widowControl/>
              <w:spacing w:beforeAutospacing="0" w:afterAutospacing="0" w:line="360" w:lineRule="auto"/>
              <w:jc w:val="center"/>
              <w:rPr>
                <w:rFonts w:ascii="宋体" w:cs="Times New Roman"/>
                <w:color w:val="auto"/>
                <w:sz w:val="21"/>
                <w:szCs w:val="21"/>
                <w:highlight w:val="none"/>
              </w:rPr>
            </w:pPr>
          </w:p>
        </w:tc>
        <w:tc>
          <w:tcPr>
            <w:tcW w:w="1889" w:type="dxa"/>
            <w:vAlign w:val="center"/>
          </w:tcPr>
          <w:p w14:paraId="46695DAC">
            <w:pPr>
              <w:pStyle w:val="18"/>
              <w:widowControl/>
              <w:spacing w:beforeAutospacing="0" w:afterAutospacing="0" w:line="360" w:lineRule="auto"/>
              <w:jc w:val="center"/>
              <w:rPr>
                <w:rFonts w:ascii="宋体" w:cs="Times New Roman"/>
                <w:color w:val="auto"/>
                <w:sz w:val="21"/>
                <w:szCs w:val="21"/>
                <w:highlight w:val="none"/>
              </w:rPr>
            </w:pPr>
          </w:p>
        </w:tc>
      </w:tr>
      <w:tr w14:paraId="50F7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8" w:type="dxa"/>
            <w:vAlign w:val="center"/>
          </w:tcPr>
          <w:p w14:paraId="7B29AC84">
            <w:pPr>
              <w:pStyle w:val="18"/>
              <w:widowControl/>
              <w:spacing w:beforeAutospacing="0" w:afterAutospacing="0" w:line="360" w:lineRule="auto"/>
              <w:jc w:val="center"/>
              <w:rPr>
                <w:rFonts w:ascii="宋体" w:cs="Times New Roman"/>
                <w:color w:val="auto"/>
                <w:sz w:val="21"/>
                <w:szCs w:val="21"/>
                <w:highlight w:val="none"/>
              </w:rPr>
            </w:pPr>
          </w:p>
        </w:tc>
        <w:tc>
          <w:tcPr>
            <w:tcW w:w="1250" w:type="dxa"/>
            <w:vAlign w:val="center"/>
          </w:tcPr>
          <w:p w14:paraId="0CCDA6B8">
            <w:pPr>
              <w:pStyle w:val="18"/>
              <w:widowControl/>
              <w:spacing w:beforeAutospacing="0" w:afterAutospacing="0" w:line="360" w:lineRule="auto"/>
              <w:jc w:val="center"/>
              <w:rPr>
                <w:rFonts w:ascii="宋体" w:cs="Times New Roman"/>
                <w:color w:val="auto"/>
                <w:sz w:val="21"/>
                <w:szCs w:val="21"/>
                <w:highlight w:val="none"/>
              </w:rPr>
            </w:pPr>
          </w:p>
        </w:tc>
        <w:tc>
          <w:tcPr>
            <w:tcW w:w="1819" w:type="dxa"/>
            <w:vAlign w:val="center"/>
          </w:tcPr>
          <w:p w14:paraId="649503E5">
            <w:pPr>
              <w:pStyle w:val="18"/>
              <w:widowControl/>
              <w:spacing w:beforeAutospacing="0" w:afterAutospacing="0" w:line="360" w:lineRule="auto"/>
              <w:jc w:val="center"/>
              <w:rPr>
                <w:rFonts w:ascii="宋体" w:cs="Times New Roman"/>
                <w:color w:val="auto"/>
                <w:sz w:val="21"/>
                <w:szCs w:val="21"/>
                <w:highlight w:val="none"/>
              </w:rPr>
            </w:pPr>
          </w:p>
        </w:tc>
        <w:tc>
          <w:tcPr>
            <w:tcW w:w="3096" w:type="dxa"/>
            <w:vAlign w:val="center"/>
          </w:tcPr>
          <w:p w14:paraId="3808577F">
            <w:pPr>
              <w:pStyle w:val="18"/>
              <w:widowControl/>
              <w:spacing w:beforeAutospacing="0" w:afterAutospacing="0" w:line="360" w:lineRule="auto"/>
              <w:jc w:val="center"/>
              <w:rPr>
                <w:rFonts w:ascii="宋体" w:cs="Times New Roman"/>
                <w:color w:val="auto"/>
                <w:sz w:val="21"/>
                <w:szCs w:val="21"/>
                <w:highlight w:val="none"/>
              </w:rPr>
            </w:pPr>
          </w:p>
        </w:tc>
        <w:tc>
          <w:tcPr>
            <w:tcW w:w="845" w:type="dxa"/>
            <w:vAlign w:val="center"/>
          </w:tcPr>
          <w:p w14:paraId="4CFE0FD2">
            <w:pPr>
              <w:pStyle w:val="18"/>
              <w:widowControl/>
              <w:spacing w:beforeAutospacing="0" w:afterAutospacing="0" w:line="360" w:lineRule="auto"/>
              <w:jc w:val="center"/>
              <w:rPr>
                <w:rFonts w:ascii="宋体" w:cs="Times New Roman"/>
                <w:color w:val="auto"/>
                <w:sz w:val="21"/>
                <w:szCs w:val="21"/>
                <w:highlight w:val="none"/>
              </w:rPr>
            </w:pPr>
          </w:p>
        </w:tc>
        <w:tc>
          <w:tcPr>
            <w:tcW w:w="1889" w:type="dxa"/>
            <w:vAlign w:val="center"/>
          </w:tcPr>
          <w:p w14:paraId="5F8BA754">
            <w:pPr>
              <w:pStyle w:val="18"/>
              <w:widowControl/>
              <w:spacing w:beforeAutospacing="0" w:afterAutospacing="0" w:line="360" w:lineRule="auto"/>
              <w:jc w:val="center"/>
              <w:rPr>
                <w:rFonts w:ascii="宋体" w:cs="Times New Roman"/>
                <w:color w:val="auto"/>
                <w:sz w:val="21"/>
                <w:szCs w:val="21"/>
                <w:highlight w:val="none"/>
              </w:rPr>
            </w:pPr>
          </w:p>
        </w:tc>
      </w:tr>
      <w:tr w14:paraId="59BC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8" w:type="dxa"/>
            <w:vAlign w:val="center"/>
          </w:tcPr>
          <w:p w14:paraId="0ECA4FCD">
            <w:pPr>
              <w:pStyle w:val="18"/>
              <w:widowControl/>
              <w:spacing w:beforeAutospacing="0" w:afterAutospacing="0" w:line="360" w:lineRule="auto"/>
              <w:jc w:val="center"/>
              <w:rPr>
                <w:rFonts w:ascii="宋体" w:cs="Times New Roman"/>
                <w:color w:val="auto"/>
                <w:sz w:val="21"/>
                <w:szCs w:val="21"/>
                <w:highlight w:val="none"/>
              </w:rPr>
            </w:pPr>
          </w:p>
        </w:tc>
        <w:tc>
          <w:tcPr>
            <w:tcW w:w="1250" w:type="dxa"/>
            <w:vAlign w:val="center"/>
          </w:tcPr>
          <w:p w14:paraId="127DED0F">
            <w:pPr>
              <w:pStyle w:val="18"/>
              <w:widowControl/>
              <w:spacing w:beforeAutospacing="0" w:afterAutospacing="0" w:line="360" w:lineRule="auto"/>
              <w:jc w:val="center"/>
              <w:rPr>
                <w:rFonts w:ascii="宋体" w:cs="Times New Roman"/>
                <w:color w:val="auto"/>
                <w:sz w:val="21"/>
                <w:szCs w:val="21"/>
                <w:highlight w:val="none"/>
              </w:rPr>
            </w:pPr>
          </w:p>
        </w:tc>
        <w:tc>
          <w:tcPr>
            <w:tcW w:w="1819" w:type="dxa"/>
            <w:vAlign w:val="center"/>
          </w:tcPr>
          <w:p w14:paraId="1E6608EF">
            <w:pPr>
              <w:pStyle w:val="18"/>
              <w:widowControl/>
              <w:spacing w:beforeAutospacing="0" w:afterAutospacing="0" w:line="360" w:lineRule="auto"/>
              <w:jc w:val="center"/>
              <w:rPr>
                <w:rFonts w:ascii="宋体" w:cs="Times New Roman"/>
                <w:color w:val="auto"/>
                <w:sz w:val="21"/>
                <w:szCs w:val="21"/>
                <w:highlight w:val="none"/>
              </w:rPr>
            </w:pPr>
          </w:p>
        </w:tc>
        <w:tc>
          <w:tcPr>
            <w:tcW w:w="3096" w:type="dxa"/>
            <w:vAlign w:val="center"/>
          </w:tcPr>
          <w:p w14:paraId="7E85F8D4">
            <w:pPr>
              <w:pStyle w:val="18"/>
              <w:widowControl/>
              <w:spacing w:beforeAutospacing="0" w:afterAutospacing="0" w:line="360" w:lineRule="auto"/>
              <w:jc w:val="center"/>
              <w:rPr>
                <w:rFonts w:ascii="宋体" w:cs="Times New Roman"/>
                <w:color w:val="auto"/>
                <w:sz w:val="21"/>
                <w:szCs w:val="21"/>
                <w:highlight w:val="none"/>
              </w:rPr>
            </w:pPr>
          </w:p>
        </w:tc>
        <w:tc>
          <w:tcPr>
            <w:tcW w:w="845" w:type="dxa"/>
            <w:vAlign w:val="center"/>
          </w:tcPr>
          <w:p w14:paraId="25CDD251">
            <w:pPr>
              <w:pStyle w:val="18"/>
              <w:widowControl/>
              <w:spacing w:beforeAutospacing="0" w:afterAutospacing="0" w:line="360" w:lineRule="auto"/>
              <w:jc w:val="center"/>
              <w:rPr>
                <w:rFonts w:ascii="宋体" w:cs="Times New Roman"/>
                <w:color w:val="auto"/>
                <w:sz w:val="21"/>
                <w:szCs w:val="21"/>
                <w:highlight w:val="none"/>
              </w:rPr>
            </w:pPr>
          </w:p>
        </w:tc>
        <w:tc>
          <w:tcPr>
            <w:tcW w:w="1889" w:type="dxa"/>
            <w:vAlign w:val="center"/>
          </w:tcPr>
          <w:p w14:paraId="30A83129">
            <w:pPr>
              <w:pStyle w:val="18"/>
              <w:widowControl/>
              <w:spacing w:beforeAutospacing="0" w:afterAutospacing="0" w:line="360" w:lineRule="auto"/>
              <w:jc w:val="center"/>
              <w:rPr>
                <w:rFonts w:ascii="宋体" w:cs="Times New Roman"/>
                <w:color w:val="auto"/>
                <w:sz w:val="21"/>
                <w:szCs w:val="21"/>
                <w:highlight w:val="none"/>
              </w:rPr>
            </w:pPr>
          </w:p>
        </w:tc>
      </w:tr>
      <w:tr w14:paraId="59D6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8" w:type="dxa"/>
            <w:vAlign w:val="center"/>
          </w:tcPr>
          <w:p w14:paraId="6D09B6DE">
            <w:pPr>
              <w:pStyle w:val="18"/>
              <w:widowControl/>
              <w:spacing w:beforeAutospacing="0" w:afterAutospacing="0" w:line="360" w:lineRule="auto"/>
              <w:jc w:val="center"/>
              <w:rPr>
                <w:rFonts w:ascii="宋体" w:cs="Times New Roman"/>
                <w:color w:val="auto"/>
                <w:sz w:val="21"/>
                <w:szCs w:val="21"/>
                <w:highlight w:val="none"/>
              </w:rPr>
            </w:pPr>
          </w:p>
        </w:tc>
        <w:tc>
          <w:tcPr>
            <w:tcW w:w="1250" w:type="dxa"/>
            <w:vAlign w:val="center"/>
          </w:tcPr>
          <w:p w14:paraId="6922F41A">
            <w:pPr>
              <w:pStyle w:val="18"/>
              <w:widowControl/>
              <w:spacing w:beforeAutospacing="0" w:afterAutospacing="0" w:line="360" w:lineRule="auto"/>
              <w:jc w:val="center"/>
              <w:rPr>
                <w:rFonts w:ascii="宋体" w:cs="Times New Roman"/>
                <w:color w:val="auto"/>
                <w:sz w:val="21"/>
                <w:szCs w:val="21"/>
                <w:highlight w:val="none"/>
              </w:rPr>
            </w:pPr>
          </w:p>
        </w:tc>
        <w:tc>
          <w:tcPr>
            <w:tcW w:w="1819" w:type="dxa"/>
            <w:vAlign w:val="center"/>
          </w:tcPr>
          <w:p w14:paraId="17747B96">
            <w:pPr>
              <w:pStyle w:val="18"/>
              <w:widowControl/>
              <w:spacing w:beforeAutospacing="0" w:afterAutospacing="0" w:line="360" w:lineRule="auto"/>
              <w:jc w:val="center"/>
              <w:rPr>
                <w:rFonts w:ascii="宋体" w:cs="Times New Roman"/>
                <w:color w:val="auto"/>
                <w:sz w:val="21"/>
                <w:szCs w:val="21"/>
                <w:highlight w:val="none"/>
              </w:rPr>
            </w:pPr>
          </w:p>
        </w:tc>
        <w:tc>
          <w:tcPr>
            <w:tcW w:w="3096" w:type="dxa"/>
            <w:vAlign w:val="center"/>
          </w:tcPr>
          <w:p w14:paraId="708426DF">
            <w:pPr>
              <w:pStyle w:val="18"/>
              <w:widowControl/>
              <w:spacing w:beforeAutospacing="0" w:afterAutospacing="0" w:line="360" w:lineRule="auto"/>
              <w:jc w:val="center"/>
              <w:rPr>
                <w:rFonts w:ascii="宋体" w:cs="Times New Roman"/>
                <w:color w:val="auto"/>
                <w:sz w:val="21"/>
                <w:szCs w:val="21"/>
                <w:highlight w:val="none"/>
              </w:rPr>
            </w:pPr>
          </w:p>
        </w:tc>
        <w:tc>
          <w:tcPr>
            <w:tcW w:w="845" w:type="dxa"/>
            <w:vAlign w:val="center"/>
          </w:tcPr>
          <w:p w14:paraId="762F283D">
            <w:pPr>
              <w:pStyle w:val="18"/>
              <w:widowControl/>
              <w:spacing w:beforeAutospacing="0" w:afterAutospacing="0" w:line="360" w:lineRule="auto"/>
              <w:jc w:val="center"/>
              <w:rPr>
                <w:rFonts w:ascii="宋体" w:cs="Times New Roman"/>
                <w:color w:val="auto"/>
                <w:sz w:val="21"/>
                <w:szCs w:val="21"/>
                <w:highlight w:val="none"/>
              </w:rPr>
            </w:pPr>
          </w:p>
        </w:tc>
        <w:tc>
          <w:tcPr>
            <w:tcW w:w="1889" w:type="dxa"/>
            <w:vAlign w:val="center"/>
          </w:tcPr>
          <w:p w14:paraId="171893D9">
            <w:pPr>
              <w:pStyle w:val="18"/>
              <w:widowControl/>
              <w:spacing w:beforeAutospacing="0" w:afterAutospacing="0" w:line="360" w:lineRule="auto"/>
              <w:jc w:val="center"/>
              <w:rPr>
                <w:rFonts w:ascii="宋体" w:cs="Times New Roman"/>
                <w:color w:val="auto"/>
                <w:sz w:val="21"/>
                <w:szCs w:val="21"/>
                <w:highlight w:val="none"/>
              </w:rPr>
            </w:pPr>
          </w:p>
        </w:tc>
      </w:tr>
      <w:tr w14:paraId="3764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8" w:type="dxa"/>
            <w:vAlign w:val="center"/>
          </w:tcPr>
          <w:p w14:paraId="171365CE">
            <w:pPr>
              <w:pStyle w:val="18"/>
              <w:widowControl/>
              <w:spacing w:beforeAutospacing="0" w:afterAutospacing="0" w:line="360" w:lineRule="auto"/>
              <w:jc w:val="center"/>
              <w:rPr>
                <w:rFonts w:ascii="宋体" w:cs="Times New Roman"/>
                <w:color w:val="auto"/>
                <w:sz w:val="21"/>
                <w:szCs w:val="21"/>
                <w:highlight w:val="none"/>
              </w:rPr>
            </w:pPr>
          </w:p>
        </w:tc>
        <w:tc>
          <w:tcPr>
            <w:tcW w:w="1250" w:type="dxa"/>
            <w:vAlign w:val="center"/>
          </w:tcPr>
          <w:p w14:paraId="17890679">
            <w:pPr>
              <w:pStyle w:val="18"/>
              <w:widowControl/>
              <w:spacing w:beforeAutospacing="0" w:afterAutospacing="0" w:line="360" w:lineRule="auto"/>
              <w:jc w:val="center"/>
              <w:rPr>
                <w:rFonts w:ascii="宋体" w:cs="Times New Roman"/>
                <w:color w:val="auto"/>
                <w:sz w:val="21"/>
                <w:szCs w:val="21"/>
                <w:highlight w:val="none"/>
              </w:rPr>
            </w:pPr>
          </w:p>
        </w:tc>
        <w:tc>
          <w:tcPr>
            <w:tcW w:w="1819" w:type="dxa"/>
            <w:vAlign w:val="center"/>
          </w:tcPr>
          <w:p w14:paraId="3509C26F">
            <w:pPr>
              <w:pStyle w:val="18"/>
              <w:widowControl/>
              <w:spacing w:beforeAutospacing="0" w:afterAutospacing="0" w:line="360" w:lineRule="auto"/>
              <w:jc w:val="center"/>
              <w:rPr>
                <w:rFonts w:ascii="宋体" w:cs="Times New Roman"/>
                <w:color w:val="auto"/>
                <w:sz w:val="21"/>
                <w:szCs w:val="21"/>
                <w:highlight w:val="none"/>
              </w:rPr>
            </w:pPr>
          </w:p>
        </w:tc>
        <w:tc>
          <w:tcPr>
            <w:tcW w:w="3096" w:type="dxa"/>
            <w:vAlign w:val="center"/>
          </w:tcPr>
          <w:p w14:paraId="3155C828">
            <w:pPr>
              <w:pStyle w:val="18"/>
              <w:widowControl/>
              <w:spacing w:beforeAutospacing="0" w:afterAutospacing="0" w:line="360" w:lineRule="auto"/>
              <w:jc w:val="center"/>
              <w:rPr>
                <w:rFonts w:ascii="宋体" w:cs="Times New Roman"/>
                <w:color w:val="auto"/>
                <w:sz w:val="21"/>
                <w:szCs w:val="21"/>
                <w:highlight w:val="none"/>
              </w:rPr>
            </w:pPr>
          </w:p>
        </w:tc>
        <w:tc>
          <w:tcPr>
            <w:tcW w:w="845" w:type="dxa"/>
            <w:vAlign w:val="center"/>
          </w:tcPr>
          <w:p w14:paraId="77144305">
            <w:pPr>
              <w:pStyle w:val="18"/>
              <w:widowControl/>
              <w:spacing w:beforeAutospacing="0" w:afterAutospacing="0" w:line="360" w:lineRule="auto"/>
              <w:jc w:val="center"/>
              <w:rPr>
                <w:rFonts w:ascii="宋体" w:cs="Times New Roman"/>
                <w:color w:val="auto"/>
                <w:sz w:val="21"/>
                <w:szCs w:val="21"/>
                <w:highlight w:val="none"/>
              </w:rPr>
            </w:pPr>
          </w:p>
        </w:tc>
        <w:tc>
          <w:tcPr>
            <w:tcW w:w="1889" w:type="dxa"/>
            <w:vAlign w:val="center"/>
          </w:tcPr>
          <w:p w14:paraId="12BADBAB">
            <w:pPr>
              <w:pStyle w:val="18"/>
              <w:widowControl/>
              <w:spacing w:beforeAutospacing="0" w:afterAutospacing="0" w:line="360" w:lineRule="auto"/>
              <w:jc w:val="center"/>
              <w:rPr>
                <w:rFonts w:ascii="宋体" w:cs="Times New Roman"/>
                <w:color w:val="auto"/>
                <w:sz w:val="21"/>
                <w:szCs w:val="21"/>
                <w:highlight w:val="none"/>
              </w:rPr>
            </w:pPr>
          </w:p>
        </w:tc>
      </w:tr>
      <w:tr w14:paraId="1C20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8" w:type="dxa"/>
            <w:vAlign w:val="center"/>
          </w:tcPr>
          <w:p w14:paraId="22B37300">
            <w:pPr>
              <w:pStyle w:val="18"/>
              <w:widowControl/>
              <w:spacing w:beforeAutospacing="0" w:afterAutospacing="0" w:line="360" w:lineRule="auto"/>
              <w:jc w:val="center"/>
              <w:rPr>
                <w:rFonts w:ascii="宋体" w:cs="Times New Roman"/>
                <w:color w:val="auto"/>
                <w:sz w:val="21"/>
                <w:szCs w:val="21"/>
                <w:highlight w:val="none"/>
              </w:rPr>
            </w:pPr>
          </w:p>
        </w:tc>
        <w:tc>
          <w:tcPr>
            <w:tcW w:w="1250" w:type="dxa"/>
            <w:vAlign w:val="center"/>
          </w:tcPr>
          <w:p w14:paraId="77F2BC61">
            <w:pPr>
              <w:pStyle w:val="18"/>
              <w:widowControl/>
              <w:spacing w:beforeAutospacing="0" w:afterAutospacing="0" w:line="360" w:lineRule="auto"/>
              <w:jc w:val="center"/>
              <w:rPr>
                <w:rFonts w:ascii="宋体" w:cs="Times New Roman"/>
                <w:color w:val="auto"/>
                <w:sz w:val="21"/>
                <w:szCs w:val="21"/>
                <w:highlight w:val="none"/>
              </w:rPr>
            </w:pPr>
          </w:p>
        </w:tc>
        <w:tc>
          <w:tcPr>
            <w:tcW w:w="1819" w:type="dxa"/>
            <w:vAlign w:val="center"/>
          </w:tcPr>
          <w:p w14:paraId="2A081C7A">
            <w:pPr>
              <w:pStyle w:val="18"/>
              <w:widowControl/>
              <w:spacing w:beforeAutospacing="0" w:afterAutospacing="0" w:line="360" w:lineRule="auto"/>
              <w:jc w:val="center"/>
              <w:rPr>
                <w:rFonts w:ascii="宋体" w:cs="Times New Roman"/>
                <w:color w:val="auto"/>
                <w:sz w:val="21"/>
                <w:szCs w:val="21"/>
                <w:highlight w:val="none"/>
              </w:rPr>
            </w:pPr>
          </w:p>
        </w:tc>
        <w:tc>
          <w:tcPr>
            <w:tcW w:w="3096" w:type="dxa"/>
            <w:vAlign w:val="center"/>
          </w:tcPr>
          <w:p w14:paraId="71245587">
            <w:pPr>
              <w:pStyle w:val="18"/>
              <w:widowControl/>
              <w:spacing w:beforeAutospacing="0" w:afterAutospacing="0" w:line="360" w:lineRule="auto"/>
              <w:jc w:val="center"/>
              <w:rPr>
                <w:rFonts w:ascii="宋体" w:cs="Times New Roman"/>
                <w:color w:val="auto"/>
                <w:sz w:val="21"/>
                <w:szCs w:val="21"/>
                <w:highlight w:val="none"/>
              </w:rPr>
            </w:pPr>
          </w:p>
        </w:tc>
        <w:tc>
          <w:tcPr>
            <w:tcW w:w="845" w:type="dxa"/>
            <w:vAlign w:val="center"/>
          </w:tcPr>
          <w:p w14:paraId="446380DB">
            <w:pPr>
              <w:pStyle w:val="18"/>
              <w:widowControl/>
              <w:spacing w:beforeAutospacing="0" w:afterAutospacing="0" w:line="360" w:lineRule="auto"/>
              <w:jc w:val="center"/>
              <w:rPr>
                <w:rFonts w:ascii="宋体" w:cs="Times New Roman"/>
                <w:color w:val="auto"/>
                <w:sz w:val="21"/>
                <w:szCs w:val="21"/>
                <w:highlight w:val="none"/>
              </w:rPr>
            </w:pPr>
          </w:p>
        </w:tc>
        <w:tc>
          <w:tcPr>
            <w:tcW w:w="1889" w:type="dxa"/>
            <w:vAlign w:val="center"/>
          </w:tcPr>
          <w:p w14:paraId="07A6F68C">
            <w:pPr>
              <w:pStyle w:val="18"/>
              <w:widowControl/>
              <w:spacing w:beforeAutospacing="0" w:afterAutospacing="0" w:line="360" w:lineRule="auto"/>
              <w:jc w:val="center"/>
              <w:rPr>
                <w:rFonts w:ascii="宋体" w:cs="Times New Roman"/>
                <w:color w:val="auto"/>
                <w:sz w:val="21"/>
                <w:szCs w:val="21"/>
                <w:highlight w:val="none"/>
              </w:rPr>
            </w:pPr>
          </w:p>
        </w:tc>
      </w:tr>
      <w:tr w14:paraId="056E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8" w:type="dxa"/>
            <w:vAlign w:val="center"/>
          </w:tcPr>
          <w:p w14:paraId="24480E89">
            <w:pPr>
              <w:pStyle w:val="18"/>
              <w:widowControl/>
              <w:spacing w:beforeAutospacing="0" w:afterAutospacing="0" w:line="360" w:lineRule="auto"/>
              <w:jc w:val="center"/>
              <w:rPr>
                <w:rFonts w:ascii="宋体" w:cs="Times New Roman"/>
                <w:color w:val="auto"/>
                <w:sz w:val="21"/>
                <w:szCs w:val="21"/>
                <w:highlight w:val="none"/>
              </w:rPr>
            </w:pPr>
          </w:p>
        </w:tc>
        <w:tc>
          <w:tcPr>
            <w:tcW w:w="1250" w:type="dxa"/>
            <w:vAlign w:val="center"/>
          </w:tcPr>
          <w:p w14:paraId="2FB01F2B">
            <w:pPr>
              <w:pStyle w:val="18"/>
              <w:widowControl/>
              <w:spacing w:beforeAutospacing="0" w:afterAutospacing="0" w:line="360" w:lineRule="auto"/>
              <w:jc w:val="center"/>
              <w:rPr>
                <w:rFonts w:ascii="宋体" w:cs="Times New Roman"/>
                <w:color w:val="auto"/>
                <w:sz w:val="21"/>
                <w:szCs w:val="21"/>
                <w:highlight w:val="none"/>
              </w:rPr>
            </w:pPr>
          </w:p>
        </w:tc>
        <w:tc>
          <w:tcPr>
            <w:tcW w:w="1819" w:type="dxa"/>
            <w:vAlign w:val="center"/>
          </w:tcPr>
          <w:p w14:paraId="3B9EEB45">
            <w:pPr>
              <w:pStyle w:val="18"/>
              <w:widowControl/>
              <w:spacing w:beforeAutospacing="0" w:afterAutospacing="0" w:line="360" w:lineRule="auto"/>
              <w:jc w:val="center"/>
              <w:rPr>
                <w:rFonts w:ascii="宋体" w:cs="Times New Roman"/>
                <w:color w:val="auto"/>
                <w:sz w:val="21"/>
                <w:szCs w:val="21"/>
                <w:highlight w:val="none"/>
              </w:rPr>
            </w:pPr>
          </w:p>
        </w:tc>
        <w:tc>
          <w:tcPr>
            <w:tcW w:w="3096" w:type="dxa"/>
            <w:vAlign w:val="center"/>
          </w:tcPr>
          <w:p w14:paraId="7CD24CEA">
            <w:pPr>
              <w:pStyle w:val="18"/>
              <w:widowControl/>
              <w:spacing w:beforeAutospacing="0" w:afterAutospacing="0" w:line="360" w:lineRule="auto"/>
              <w:jc w:val="center"/>
              <w:rPr>
                <w:rFonts w:ascii="宋体" w:cs="Times New Roman"/>
                <w:color w:val="auto"/>
                <w:sz w:val="21"/>
                <w:szCs w:val="21"/>
                <w:highlight w:val="none"/>
              </w:rPr>
            </w:pPr>
          </w:p>
        </w:tc>
        <w:tc>
          <w:tcPr>
            <w:tcW w:w="845" w:type="dxa"/>
            <w:vAlign w:val="center"/>
          </w:tcPr>
          <w:p w14:paraId="41B7398F">
            <w:pPr>
              <w:pStyle w:val="18"/>
              <w:widowControl/>
              <w:spacing w:beforeAutospacing="0" w:afterAutospacing="0" w:line="360" w:lineRule="auto"/>
              <w:jc w:val="center"/>
              <w:rPr>
                <w:rFonts w:ascii="宋体" w:cs="Times New Roman"/>
                <w:color w:val="auto"/>
                <w:sz w:val="21"/>
                <w:szCs w:val="21"/>
                <w:highlight w:val="none"/>
              </w:rPr>
            </w:pPr>
          </w:p>
        </w:tc>
        <w:tc>
          <w:tcPr>
            <w:tcW w:w="1889" w:type="dxa"/>
            <w:vAlign w:val="center"/>
          </w:tcPr>
          <w:p w14:paraId="7114F7FD">
            <w:pPr>
              <w:pStyle w:val="18"/>
              <w:widowControl/>
              <w:spacing w:beforeAutospacing="0" w:afterAutospacing="0" w:line="360" w:lineRule="auto"/>
              <w:jc w:val="center"/>
              <w:rPr>
                <w:rFonts w:ascii="宋体" w:cs="Times New Roman"/>
                <w:color w:val="auto"/>
                <w:sz w:val="21"/>
                <w:szCs w:val="21"/>
                <w:highlight w:val="none"/>
              </w:rPr>
            </w:pPr>
          </w:p>
        </w:tc>
      </w:tr>
      <w:tr w14:paraId="2D44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8" w:type="dxa"/>
            <w:vAlign w:val="center"/>
          </w:tcPr>
          <w:p w14:paraId="4AE52E43">
            <w:pPr>
              <w:pStyle w:val="18"/>
              <w:widowControl/>
              <w:spacing w:beforeAutospacing="0" w:afterAutospacing="0" w:line="360" w:lineRule="auto"/>
              <w:jc w:val="center"/>
              <w:rPr>
                <w:rFonts w:ascii="宋体" w:cs="Times New Roman"/>
                <w:color w:val="auto"/>
                <w:sz w:val="21"/>
                <w:szCs w:val="21"/>
                <w:highlight w:val="none"/>
              </w:rPr>
            </w:pPr>
          </w:p>
        </w:tc>
        <w:tc>
          <w:tcPr>
            <w:tcW w:w="1250" w:type="dxa"/>
            <w:vAlign w:val="center"/>
          </w:tcPr>
          <w:p w14:paraId="4227573B">
            <w:pPr>
              <w:pStyle w:val="18"/>
              <w:widowControl/>
              <w:spacing w:beforeAutospacing="0" w:afterAutospacing="0" w:line="360" w:lineRule="auto"/>
              <w:jc w:val="center"/>
              <w:rPr>
                <w:rFonts w:ascii="宋体" w:cs="Times New Roman"/>
                <w:color w:val="auto"/>
                <w:sz w:val="21"/>
                <w:szCs w:val="21"/>
                <w:highlight w:val="none"/>
              </w:rPr>
            </w:pPr>
          </w:p>
        </w:tc>
        <w:tc>
          <w:tcPr>
            <w:tcW w:w="1819" w:type="dxa"/>
            <w:vAlign w:val="center"/>
          </w:tcPr>
          <w:p w14:paraId="2F1AD7B5">
            <w:pPr>
              <w:pStyle w:val="18"/>
              <w:widowControl/>
              <w:spacing w:beforeAutospacing="0" w:afterAutospacing="0" w:line="360" w:lineRule="auto"/>
              <w:jc w:val="center"/>
              <w:rPr>
                <w:rFonts w:ascii="宋体" w:cs="Times New Roman"/>
                <w:color w:val="auto"/>
                <w:sz w:val="21"/>
                <w:szCs w:val="21"/>
                <w:highlight w:val="none"/>
              </w:rPr>
            </w:pPr>
          </w:p>
        </w:tc>
        <w:tc>
          <w:tcPr>
            <w:tcW w:w="3096" w:type="dxa"/>
            <w:vAlign w:val="center"/>
          </w:tcPr>
          <w:p w14:paraId="30BC7947">
            <w:pPr>
              <w:pStyle w:val="18"/>
              <w:widowControl/>
              <w:spacing w:beforeAutospacing="0" w:afterAutospacing="0" w:line="360" w:lineRule="auto"/>
              <w:jc w:val="center"/>
              <w:rPr>
                <w:rFonts w:ascii="宋体" w:cs="Times New Roman"/>
                <w:color w:val="auto"/>
                <w:sz w:val="21"/>
                <w:szCs w:val="21"/>
                <w:highlight w:val="none"/>
              </w:rPr>
            </w:pPr>
          </w:p>
        </w:tc>
        <w:tc>
          <w:tcPr>
            <w:tcW w:w="845" w:type="dxa"/>
            <w:vAlign w:val="center"/>
          </w:tcPr>
          <w:p w14:paraId="13E0FA1A">
            <w:pPr>
              <w:pStyle w:val="18"/>
              <w:widowControl/>
              <w:spacing w:beforeAutospacing="0" w:afterAutospacing="0" w:line="360" w:lineRule="auto"/>
              <w:jc w:val="center"/>
              <w:rPr>
                <w:rFonts w:ascii="宋体" w:cs="Times New Roman"/>
                <w:color w:val="auto"/>
                <w:sz w:val="21"/>
                <w:szCs w:val="21"/>
                <w:highlight w:val="none"/>
              </w:rPr>
            </w:pPr>
          </w:p>
        </w:tc>
        <w:tc>
          <w:tcPr>
            <w:tcW w:w="1889" w:type="dxa"/>
            <w:vAlign w:val="center"/>
          </w:tcPr>
          <w:p w14:paraId="3F496B4A">
            <w:pPr>
              <w:pStyle w:val="18"/>
              <w:widowControl/>
              <w:spacing w:beforeAutospacing="0" w:afterAutospacing="0" w:line="360" w:lineRule="auto"/>
              <w:jc w:val="center"/>
              <w:rPr>
                <w:rFonts w:ascii="宋体" w:cs="Times New Roman"/>
                <w:color w:val="auto"/>
                <w:sz w:val="21"/>
                <w:szCs w:val="21"/>
                <w:highlight w:val="none"/>
              </w:rPr>
            </w:pPr>
          </w:p>
        </w:tc>
      </w:tr>
      <w:tr w14:paraId="29D2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8" w:type="dxa"/>
            <w:vAlign w:val="center"/>
          </w:tcPr>
          <w:p w14:paraId="0CFDFC94">
            <w:pPr>
              <w:pStyle w:val="18"/>
              <w:widowControl/>
              <w:spacing w:beforeAutospacing="0" w:afterAutospacing="0" w:line="360" w:lineRule="auto"/>
              <w:jc w:val="center"/>
              <w:rPr>
                <w:rFonts w:ascii="宋体" w:cs="Times New Roman"/>
                <w:color w:val="auto"/>
                <w:sz w:val="21"/>
                <w:szCs w:val="21"/>
                <w:highlight w:val="none"/>
              </w:rPr>
            </w:pPr>
          </w:p>
        </w:tc>
        <w:tc>
          <w:tcPr>
            <w:tcW w:w="1250" w:type="dxa"/>
            <w:vAlign w:val="center"/>
          </w:tcPr>
          <w:p w14:paraId="5FD94053">
            <w:pPr>
              <w:pStyle w:val="18"/>
              <w:widowControl/>
              <w:spacing w:beforeAutospacing="0" w:afterAutospacing="0" w:line="360" w:lineRule="auto"/>
              <w:jc w:val="center"/>
              <w:rPr>
                <w:rFonts w:ascii="宋体" w:cs="Times New Roman"/>
                <w:color w:val="auto"/>
                <w:sz w:val="21"/>
                <w:szCs w:val="21"/>
                <w:highlight w:val="none"/>
              </w:rPr>
            </w:pPr>
          </w:p>
        </w:tc>
        <w:tc>
          <w:tcPr>
            <w:tcW w:w="1819" w:type="dxa"/>
            <w:vAlign w:val="center"/>
          </w:tcPr>
          <w:p w14:paraId="14DCE7E6">
            <w:pPr>
              <w:pStyle w:val="18"/>
              <w:widowControl/>
              <w:spacing w:beforeAutospacing="0" w:afterAutospacing="0" w:line="360" w:lineRule="auto"/>
              <w:jc w:val="center"/>
              <w:rPr>
                <w:rFonts w:ascii="宋体" w:cs="Times New Roman"/>
                <w:color w:val="auto"/>
                <w:sz w:val="21"/>
                <w:szCs w:val="21"/>
                <w:highlight w:val="none"/>
              </w:rPr>
            </w:pPr>
          </w:p>
        </w:tc>
        <w:tc>
          <w:tcPr>
            <w:tcW w:w="3096" w:type="dxa"/>
            <w:vAlign w:val="center"/>
          </w:tcPr>
          <w:p w14:paraId="035CEBC0">
            <w:pPr>
              <w:pStyle w:val="18"/>
              <w:widowControl/>
              <w:spacing w:beforeAutospacing="0" w:afterAutospacing="0" w:line="360" w:lineRule="auto"/>
              <w:jc w:val="center"/>
              <w:rPr>
                <w:rFonts w:ascii="宋体" w:cs="Times New Roman"/>
                <w:color w:val="auto"/>
                <w:sz w:val="21"/>
                <w:szCs w:val="21"/>
                <w:highlight w:val="none"/>
              </w:rPr>
            </w:pPr>
          </w:p>
        </w:tc>
        <w:tc>
          <w:tcPr>
            <w:tcW w:w="845" w:type="dxa"/>
            <w:vAlign w:val="center"/>
          </w:tcPr>
          <w:p w14:paraId="53D62699">
            <w:pPr>
              <w:pStyle w:val="18"/>
              <w:widowControl/>
              <w:spacing w:beforeAutospacing="0" w:afterAutospacing="0" w:line="360" w:lineRule="auto"/>
              <w:jc w:val="center"/>
              <w:rPr>
                <w:rFonts w:ascii="宋体" w:cs="Times New Roman"/>
                <w:color w:val="auto"/>
                <w:sz w:val="21"/>
                <w:szCs w:val="21"/>
                <w:highlight w:val="none"/>
              </w:rPr>
            </w:pPr>
          </w:p>
        </w:tc>
        <w:tc>
          <w:tcPr>
            <w:tcW w:w="1889" w:type="dxa"/>
            <w:vAlign w:val="center"/>
          </w:tcPr>
          <w:p w14:paraId="769F1060">
            <w:pPr>
              <w:pStyle w:val="18"/>
              <w:widowControl/>
              <w:spacing w:beforeAutospacing="0" w:afterAutospacing="0" w:line="360" w:lineRule="auto"/>
              <w:jc w:val="center"/>
              <w:rPr>
                <w:rFonts w:ascii="宋体" w:cs="Times New Roman"/>
                <w:color w:val="auto"/>
                <w:sz w:val="21"/>
                <w:szCs w:val="21"/>
                <w:highlight w:val="none"/>
              </w:rPr>
            </w:pPr>
          </w:p>
        </w:tc>
      </w:tr>
      <w:tr w14:paraId="706B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8" w:type="dxa"/>
            <w:vAlign w:val="center"/>
          </w:tcPr>
          <w:p w14:paraId="2BF6CA59">
            <w:pPr>
              <w:pStyle w:val="18"/>
              <w:widowControl/>
              <w:spacing w:beforeAutospacing="0" w:afterAutospacing="0" w:line="360" w:lineRule="auto"/>
              <w:jc w:val="center"/>
              <w:rPr>
                <w:rFonts w:ascii="宋体" w:cs="Times New Roman"/>
                <w:color w:val="auto"/>
                <w:sz w:val="21"/>
                <w:szCs w:val="21"/>
                <w:highlight w:val="none"/>
              </w:rPr>
            </w:pPr>
          </w:p>
        </w:tc>
        <w:tc>
          <w:tcPr>
            <w:tcW w:w="1250" w:type="dxa"/>
            <w:vAlign w:val="center"/>
          </w:tcPr>
          <w:p w14:paraId="57C84932">
            <w:pPr>
              <w:pStyle w:val="18"/>
              <w:widowControl/>
              <w:spacing w:beforeAutospacing="0" w:afterAutospacing="0" w:line="360" w:lineRule="auto"/>
              <w:jc w:val="center"/>
              <w:rPr>
                <w:rFonts w:ascii="宋体" w:cs="Times New Roman"/>
                <w:color w:val="auto"/>
                <w:sz w:val="21"/>
                <w:szCs w:val="21"/>
                <w:highlight w:val="none"/>
              </w:rPr>
            </w:pPr>
          </w:p>
        </w:tc>
        <w:tc>
          <w:tcPr>
            <w:tcW w:w="1819" w:type="dxa"/>
            <w:vAlign w:val="center"/>
          </w:tcPr>
          <w:p w14:paraId="3EC982BB">
            <w:pPr>
              <w:pStyle w:val="18"/>
              <w:widowControl/>
              <w:spacing w:beforeAutospacing="0" w:afterAutospacing="0" w:line="360" w:lineRule="auto"/>
              <w:jc w:val="center"/>
              <w:rPr>
                <w:rFonts w:ascii="宋体" w:cs="Times New Roman"/>
                <w:color w:val="auto"/>
                <w:sz w:val="21"/>
                <w:szCs w:val="21"/>
                <w:highlight w:val="none"/>
              </w:rPr>
            </w:pPr>
          </w:p>
        </w:tc>
        <w:tc>
          <w:tcPr>
            <w:tcW w:w="3096" w:type="dxa"/>
            <w:vAlign w:val="center"/>
          </w:tcPr>
          <w:p w14:paraId="02B07769">
            <w:pPr>
              <w:pStyle w:val="18"/>
              <w:widowControl/>
              <w:spacing w:beforeAutospacing="0" w:afterAutospacing="0" w:line="360" w:lineRule="auto"/>
              <w:jc w:val="center"/>
              <w:rPr>
                <w:rFonts w:ascii="宋体" w:cs="Times New Roman"/>
                <w:color w:val="auto"/>
                <w:sz w:val="21"/>
                <w:szCs w:val="21"/>
                <w:highlight w:val="none"/>
              </w:rPr>
            </w:pPr>
          </w:p>
        </w:tc>
        <w:tc>
          <w:tcPr>
            <w:tcW w:w="845" w:type="dxa"/>
            <w:vAlign w:val="center"/>
          </w:tcPr>
          <w:p w14:paraId="1945071B">
            <w:pPr>
              <w:pStyle w:val="18"/>
              <w:widowControl/>
              <w:spacing w:beforeAutospacing="0" w:afterAutospacing="0" w:line="360" w:lineRule="auto"/>
              <w:jc w:val="center"/>
              <w:rPr>
                <w:rFonts w:ascii="宋体" w:cs="Times New Roman"/>
                <w:color w:val="auto"/>
                <w:sz w:val="21"/>
                <w:szCs w:val="21"/>
                <w:highlight w:val="none"/>
              </w:rPr>
            </w:pPr>
          </w:p>
        </w:tc>
        <w:tc>
          <w:tcPr>
            <w:tcW w:w="1889" w:type="dxa"/>
            <w:vAlign w:val="center"/>
          </w:tcPr>
          <w:p w14:paraId="08571762">
            <w:pPr>
              <w:pStyle w:val="18"/>
              <w:widowControl/>
              <w:spacing w:beforeAutospacing="0" w:afterAutospacing="0" w:line="360" w:lineRule="auto"/>
              <w:jc w:val="center"/>
              <w:rPr>
                <w:rFonts w:ascii="宋体" w:cs="Times New Roman"/>
                <w:color w:val="auto"/>
                <w:sz w:val="21"/>
                <w:szCs w:val="21"/>
                <w:highlight w:val="none"/>
              </w:rPr>
            </w:pPr>
          </w:p>
        </w:tc>
      </w:tr>
      <w:tr w14:paraId="449B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58" w:type="dxa"/>
            <w:vAlign w:val="center"/>
          </w:tcPr>
          <w:p w14:paraId="3404BB8A">
            <w:pPr>
              <w:pStyle w:val="18"/>
              <w:widowControl/>
              <w:spacing w:beforeAutospacing="0" w:afterAutospacing="0" w:line="360" w:lineRule="auto"/>
              <w:jc w:val="center"/>
              <w:rPr>
                <w:rFonts w:ascii="宋体" w:cs="Times New Roman"/>
                <w:color w:val="auto"/>
                <w:sz w:val="21"/>
                <w:szCs w:val="21"/>
                <w:highlight w:val="none"/>
              </w:rPr>
            </w:pPr>
          </w:p>
        </w:tc>
        <w:tc>
          <w:tcPr>
            <w:tcW w:w="1250" w:type="dxa"/>
            <w:vAlign w:val="center"/>
          </w:tcPr>
          <w:p w14:paraId="74C4ABF3">
            <w:pPr>
              <w:pStyle w:val="18"/>
              <w:widowControl/>
              <w:spacing w:beforeAutospacing="0" w:afterAutospacing="0" w:line="360" w:lineRule="auto"/>
              <w:jc w:val="center"/>
              <w:rPr>
                <w:rFonts w:ascii="宋体" w:cs="Times New Roman"/>
                <w:color w:val="auto"/>
                <w:sz w:val="21"/>
                <w:szCs w:val="21"/>
                <w:highlight w:val="none"/>
              </w:rPr>
            </w:pPr>
          </w:p>
        </w:tc>
        <w:tc>
          <w:tcPr>
            <w:tcW w:w="1819" w:type="dxa"/>
            <w:vAlign w:val="center"/>
          </w:tcPr>
          <w:p w14:paraId="1657451C">
            <w:pPr>
              <w:pStyle w:val="18"/>
              <w:widowControl/>
              <w:spacing w:beforeAutospacing="0" w:afterAutospacing="0" w:line="360" w:lineRule="auto"/>
              <w:jc w:val="center"/>
              <w:rPr>
                <w:rFonts w:ascii="宋体" w:cs="Times New Roman"/>
                <w:color w:val="auto"/>
                <w:sz w:val="21"/>
                <w:szCs w:val="21"/>
                <w:highlight w:val="none"/>
              </w:rPr>
            </w:pPr>
          </w:p>
        </w:tc>
        <w:tc>
          <w:tcPr>
            <w:tcW w:w="3096" w:type="dxa"/>
            <w:vAlign w:val="center"/>
          </w:tcPr>
          <w:p w14:paraId="57181527">
            <w:pPr>
              <w:pStyle w:val="18"/>
              <w:widowControl/>
              <w:spacing w:beforeAutospacing="0" w:afterAutospacing="0" w:line="360" w:lineRule="auto"/>
              <w:jc w:val="center"/>
              <w:rPr>
                <w:rFonts w:ascii="宋体" w:cs="Times New Roman"/>
                <w:color w:val="auto"/>
                <w:sz w:val="21"/>
                <w:szCs w:val="21"/>
                <w:highlight w:val="none"/>
              </w:rPr>
            </w:pPr>
          </w:p>
        </w:tc>
        <w:tc>
          <w:tcPr>
            <w:tcW w:w="845" w:type="dxa"/>
            <w:vAlign w:val="center"/>
          </w:tcPr>
          <w:p w14:paraId="2EDFC764">
            <w:pPr>
              <w:pStyle w:val="18"/>
              <w:widowControl/>
              <w:spacing w:beforeAutospacing="0" w:afterAutospacing="0" w:line="360" w:lineRule="auto"/>
              <w:jc w:val="center"/>
              <w:rPr>
                <w:rFonts w:ascii="宋体" w:cs="Times New Roman"/>
                <w:color w:val="auto"/>
                <w:sz w:val="21"/>
                <w:szCs w:val="21"/>
                <w:highlight w:val="none"/>
              </w:rPr>
            </w:pPr>
          </w:p>
        </w:tc>
        <w:tc>
          <w:tcPr>
            <w:tcW w:w="1889" w:type="dxa"/>
            <w:vAlign w:val="center"/>
          </w:tcPr>
          <w:p w14:paraId="739424A7">
            <w:pPr>
              <w:pStyle w:val="18"/>
              <w:widowControl/>
              <w:spacing w:beforeAutospacing="0" w:afterAutospacing="0" w:line="360" w:lineRule="auto"/>
              <w:jc w:val="center"/>
              <w:rPr>
                <w:rFonts w:ascii="宋体" w:cs="Times New Roman"/>
                <w:color w:val="auto"/>
                <w:sz w:val="21"/>
                <w:szCs w:val="21"/>
                <w:highlight w:val="none"/>
              </w:rPr>
            </w:pPr>
          </w:p>
        </w:tc>
      </w:tr>
    </w:tbl>
    <w:p w14:paraId="19B9D3AE">
      <w:pPr>
        <w:pStyle w:val="18"/>
        <w:widowControl/>
        <w:spacing w:beforeAutospacing="0" w:afterAutospacing="0" w:line="360" w:lineRule="auto"/>
        <w:rPr>
          <w:rFonts w:ascii="宋体" w:cs="Times New Roman"/>
          <w:color w:val="auto"/>
          <w:sz w:val="21"/>
          <w:szCs w:val="21"/>
          <w:highlight w:val="none"/>
        </w:rPr>
      </w:pPr>
    </w:p>
    <w:p w14:paraId="490549C3">
      <w:pPr>
        <w:pStyle w:val="18"/>
        <w:widowControl/>
        <w:spacing w:beforeAutospacing="0" w:afterAutospacing="0" w:line="360" w:lineRule="auto"/>
        <w:rPr>
          <w:rFonts w:ascii="宋体" w:cs="Times New Roman"/>
          <w:color w:val="auto"/>
          <w:sz w:val="21"/>
          <w:szCs w:val="21"/>
          <w:highlight w:val="none"/>
          <w:u w:val="single"/>
        </w:rPr>
      </w:pPr>
      <w:r>
        <w:rPr>
          <w:rFonts w:hint="eastAsia" w:ascii="宋体" w:hAnsi="宋体" w:cs="宋体"/>
          <w:color w:val="auto"/>
          <w:sz w:val="21"/>
          <w:szCs w:val="21"/>
          <w:highlight w:val="none"/>
        </w:rPr>
        <w:t>采购人代表∶记录人∶</w:t>
      </w:r>
    </w:p>
    <w:p w14:paraId="69233A2D">
      <w:pPr>
        <w:pStyle w:val="18"/>
        <w:widowControl/>
        <w:spacing w:beforeAutospacing="0" w:afterAutospacing="0" w:line="360" w:lineRule="auto"/>
        <w:ind w:firstLine="210" w:firstLineChars="100"/>
        <w:rPr>
          <w:rFonts w:ascii="宋体" w:cs="Times New Roman"/>
          <w:color w:val="auto"/>
          <w:sz w:val="21"/>
          <w:szCs w:val="21"/>
          <w:highlight w:val="none"/>
          <w:u w:val="single"/>
        </w:rPr>
      </w:pPr>
    </w:p>
    <w:p w14:paraId="7F93FD97">
      <w:pPr>
        <w:pStyle w:val="18"/>
        <w:widowControl/>
        <w:spacing w:beforeAutospacing="0" w:afterAutospacing="0" w:line="360" w:lineRule="auto"/>
        <w:ind w:firstLine="210" w:firstLineChars="100"/>
        <w:rPr>
          <w:rFonts w:ascii="宋体" w:cs="Times New Roman"/>
          <w:color w:val="auto"/>
          <w:sz w:val="21"/>
          <w:szCs w:val="21"/>
          <w:highlight w:val="none"/>
          <w:u w:val="single"/>
        </w:rPr>
      </w:pPr>
    </w:p>
    <w:p w14:paraId="2AA5B494">
      <w:pPr>
        <w:pStyle w:val="18"/>
        <w:widowControl/>
        <w:spacing w:beforeAutospacing="0" w:afterAutospacing="0" w:line="360" w:lineRule="auto"/>
        <w:ind w:firstLine="5670" w:firstLineChars="2700"/>
        <w:rPr>
          <w:rFonts w:ascii="宋体" w:cs="Times New Roman"/>
          <w:color w:val="auto"/>
          <w:sz w:val="21"/>
          <w:szCs w:val="21"/>
          <w:highlight w:val="none"/>
        </w:rPr>
      </w:pP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p>
    <w:p w14:paraId="66A67D38">
      <w:pPr>
        <w:spacing w:line="360" w:lineRule="auto"/>
        <w:rPr>
          <w:rFonts w:ascii="宋体" w:cs="Times New Roman"/>
          <w:color w:val="auto"/>
          <w:highlight w:val="none"/>
        </w:rPr>
      </w:pPr>
      <w:r>
        <w:rPr>
          <w:rFonts w:ascii="宋体" w:cs="Times New Roman"/>
          <w:color w:val="auto"/>
          <w:highlight w:val="none"/>
        </w:rPr>
        <w:br w:type="page"/>
      </w:r>
    </w:p>
    <w:p w14:paraId="54AEF5DF">
      <w:pPr>
        <w:pStyle w:val="3"/>
        <w:jc w:val="left"/>
        <w:rPr>
          <w:rFonts w:ascii="宋体" w:cs="Times New Roman"/>
          <w:color w:val="auto"/>
          <w:highlight w:val="none"/>
        </w:rPr>
      </w:pPr>
      <w:bookmarkStart w:id="44" w:name="_Toc25514"/>
      <w:bookmarkStart w:id="45" w:name="_Toc6753"/>
      <w:r>
        <w:rPr>
          <w:rFonts w:hint="eastAsia" w:ascii="宋体" w:hAnsi="宋体" w:cs="宋体"/>
          <w:color w:val="auto"/>
          <w:highlight w:val="none"/>
        </w:rPr>
        <w:t>附件</w:t>
      </w:r>
      <w:r>
        <w:rPr>
          <w:rFonts w:ascii="宋体" w:hAnsi="宋体" w:cs="宋体"/>
          <w:color w:val="auto"/>
          <w:highlight w:val="none"/>
        </w:rPr>
        <w:t xml:space="preserve">2 </w:t>
      </w:r>
      <w:r>
        <w:rPr>
          <w:rFonts w:hint="eastAsia" w:ascii="宋体" w:hAnsi="宋体" w:cs="宋体"/>
          <w:color w:val="auto"/>
          <w:highlight w:val="none"/>
        </w:rPr>
        <w:t>问题澄清通知</w:t>
      </w:r>
      <w:bookmarkEnd w:id="44"/>
      <w:bookmarkEnd w:id="45"/>
    </w:p>
    <w:p w14:paraId="6065C871">
      <w:pPr>
        <w:pStyle w:val="18"/>
        <w:widowControl/>
        <w:spacing w:beforeAutospacing="0" w:afterAutospacing="0" w:line="360" w:lineRule="auto"/>
        <w:jc w:val="center"/>
        <w:rPr>
          <w:rFonts w:ascii="宋体" w:cs="Times New Roman"/>
          <w:color w:val="auto"/>
          <w:sz w:val="36"/>
          <w:szCs w:val="36"/>
          <w:highlight w:val="none"/>
        </w:rPr>
      </w:pPr>
      <w:r>
        <w:rPr>
          <w:rFonts w:hint="eastAsia" w:ascii="宋体" w:hAnsi="宋体" w:cs="宋体"/>
          <w:color w:val="auto"/>
          <w:sz w:val="36"/>
          <w:szCs w:val="36"/>
          <w:highlight w:val="none"/>
        </w:rPr>
        <w:t>问题澄清通知</w:t>
      </w:r>
    </w:p>
    <w:p w14:paraId="00929E0E">
      <w:pPr>
        <w:pStyle w:val="18"/>
        <w:widowControl/>
        <w:spacing w:beforeAutospacing="0" w:afterAutospacing="0" w:line="360" w:lineRule="auto"/>
        <w:jc w:val="center"/>
        <w:rPr>
          <w:rFonts w:ascii="宋体" w:cs="Times New Roman"/>
          <w:color w:val="auto"/>
          <w:sz w:val="30"/>
          <w:szCs w:val="30"/>
          <w:highlight w:val="none"/>
        </w:rPr>
      </w:pPr>
      <w:r>
        <w:rPr>
          <w:rFonts w:hint="eastAsia" w:ascii="宋体" w:hAnsi="宋体" w:cs="宋体"/>
          <w:color w:val="auto"/>
          <w:sz w:val="30"/>
          <w:szCs w:val="30"/>
          <w:highlight w:val="none"/>
        </w:rPr>
        <w:t>（编号：）</w:t>
      </w:r>
    </w:p>
    <w:p w14:paraId="2E8E6DBD">
      <w:pPr>
        <w:pStyle w:val="18"/>
        <w:widowControl/>
        <w:spacing w:beforeAutospacing="0" w:afterAutospacing="0" w:line="360" w:lineRule="auto"/>
        <w:jc w:val="center"/>
        <w:rPr>
          <w:rFonts w:ascii="宋体" w:cs="Times New Roman"/>
          <w:color w:val="auto"/>
          <w:sz w:val="21"/>
          <w:szCs w:val="21"/>
          <w:highlight w:val="none"/>
        </w:rPr>
      </w:pPr>
    </w:p>
    <w:p w14:paraId="0050602A">
      <w:pPr>
        <w:pStyle w:val="18"/>
        <w:widowControl/>
        <w:spacing w:beforeAutospacing="0" w:afterAutospacing="0" w:line="360" w:lineRule="auto"/>
        <w:jc w:val="center"/>
        <w:rPr>
          <w:rFonts w:ascii="宋体" w:cs="Times New Roman"/>
          <w:color w:val="auto"/>
          <w:sz w:val="21"/>
          <w:szCs w:val="21"/>
          <w:highlight w:val="none"/>
        </w:rPr>
      </w:pPr>
    </w:p>
    <w:p w14:paraId="4FDA5585">
      <w:pPr>
        <w:pStyle w:val="18"/>
        <w:widowControl/>
        <w:spacing w:beforeAutospacing="0" w:afterAutospacing="0" w:line="360" w:lineRule="auto"/>
        <w:jc w:val="both"/>
        <w:rPr>
          <w:rFonts w:ascii="宋体" w:cs="Times New Roman"/>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u w:val="single"/>
        </w:rPr>
        <w:t>（询比响应人名称）</w:t>
      </w:r>
      <w:r>
        <w:rPr>
          <w:rFonts w:hint="eastAsia" w:ascii="宋体" w:hAnsi="宋体" w:cs="宋体"/>
          <w:color w:val="auto"/>
          <w:highlight w:val="none"/>
        </w:rPr>
        <w:t>：</w:t>
      </w:r>
    </w:p>
    <w:p w14:paraId="29AE807D">
      <w:pPr>
        <w:pStyle w:val="18"/>
        <w:widowControl/>
        <w:spacing w:beforeAutospacing="0" w:afterAutospacing="0" w:line="360" w:lineRule="auto"/>
        <w:ind w:firstLine="480" w:firstLineChars="200"/>
        <w:rPr>
          <w:rFonts w:ascii="宋体" w:cs="Times New Roman"/>
          <w:color w:val="auto"/>
          <w:highlight w:val="none"/>
        </w:rPr>
      </w:pPr>
    </w:p>
    <w:p w14:paraId="0663CE79">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评审小组对你方的响应文件进行了仔细审查，现需你方对下列问题以书面形式予以澄清、说明和补正：</w:t>
      </w:r>
    </w:p>
    <w:p w14:paraId="3E91EA94">
      <w:pPr>
        <w:pStyle w:val="18"/>
        <w:widowControl/>
        <w:spacing w:beforeAutospacing="0" w:afterAutospacing="0" w:line="360" w:lineRule="auto"/>
        <w:ind w:firstLine="480" w:firstLineChars="200"/>
        <w:rPr>
          <w:rFonts w:ascii="宋体" w:cs="Times New Roman"/>
          <w:color w:val="auto"/>
          <w:highlight w:val="none"/>
        </w:rPr>
      </w:pPr>
    </w:p>
    <w:p w14:paraId="38A1CE02">
      <w:pPr>
        <w:pStyle w:val="18"/>
        <w:widowControl/>
        <w:spacing w:beforeAutospacing="0" w:afterAutospacing="0" w:line="360" w:lineRule="auto"/>
        <w:ind w:firstLine="480" w:firstLineChars="200"/>
        <w:rPr>
          <w:rFonts w:ascii="宋体" w:cs="Times New Roman"/>
          <w:color w:val="auto"/>
          <w:highlight w:val="none"/>
        </w:rPr>
      </w:pPr>
      <w:r>
        <w:rPr>
          <w:rFonts w:ascii="宋体" w:hAnsi="宋体" w:cs="宋体"/>
          <w:color w:val="auto"/>
          <w:highlight w:val="none"/>
        </w:rPr>
        <w:t>1</w:t>
      </w:r>
      <w:r>
        <w:rPr>
          <w:rFonts w:hint="eastAsia" w:ascii="宋体" w:hAnsi="宋体" w:cs="宋体"/>
          <w:color w:val="auto"/>
          <w:highlight w:val="none"/>
        </w:rPr>
        <w:t>、</w:t>
      </w:r>
    </w:p>
    <w:p w14:paraId="17BAC21B">
      <w:pPr>
        <w:pStyle w:val="18"/>
        <w:widowControl/>
        <w:spacing w:beforeAutospacing="0" w:afterAutospacing="0" w:line="360" w:lineRule="auto"/>
        <w:ind w:firstLine="480" w:firstLineChars="200"/>
        <w:rPr>
          <w:rFonts w:ascii="宋体" w:cs="Times New Roman"/>
          <w:color w:val="auto"/>
          <w:highlight w:val="none"/>
        </w:rPr>
      </w:pPr>
      <w:r>
        <w:rPr>
          <w:rFonts w:ascii="宋体" w:hAnsi="宋体" w:cs="宋体"/>
          <w:color w:val="auto"/>
          <w:highlight w:val="none"/>
        </w:rPr>
        <w:t>2</w:t>
      </w:r>
      <w:r>
        <w:rPr>
          <w:rFonts w:hint="eastAsia" w:ascii="宋体" w:hAnsi="宋体" w:cs="宋体"/>
          <w:color w:val="auto"/>
          <w:highlight w:val="none"/>
        </w:rPr>
        <w:t>、</w:t>
      </w:r>
    </w:p>
    <w:p w14:paraId="50428134">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p>
    <w:p w14:paraId="4616FAF9">
      <w:pPr>
        <w:pStyle w:val="18"/>
        <w:widowControl/>
        <w:spacing w:beforeAutospacing="0" w:afterAutospacing="0" w:line="360" w:lineRule="auto"/>
        <w:ind w:firstLine="480" w:firstLineChars="200"/>
        <w:rPr>
          <w:rFonts w:ascii="宋体" w:cs="Times New Roman"/>
          <w:color w:val="auto"/>
          <w:highlight w:val="none"/>
        </w:rPr>
      </w:pPr>
    </w:p>
    <w:p w14:paraId="121C2D4E">
      <w:pPr>
        <w:pStyle w:val="18"/>
        <w:widowControl/>
        <w:spacing w:beforeAutospacing="0" w:afterAutospacing="0" w:line="360" w:lineRule="auto"/>
        <w:ind w:firstLine="480" w:firstLineChars="200"/>
        <w:rPr>
          <w:rFonts w:ascii="宋体" w:cs="Times New Roman"/>
          <w:color w:val="auto"/>
          <w:highlight w:val="none"/>
          <w:u w:val="single"/>
        </w:rPr>
      </w:pPr>
      <w:r>
        <w:rPr>
          <w:rFonts w:hint="eastAsia" w:ascii="宋体" w:hAnsi="宋体" w:cs="宋体"/>
          <w:color w:val="auto"/>
          <w:highlight w:val="none"/>
        </w:rPr>
        <w:t>请将上述问题的澄清、说明和补正于年月日时前递交至</w:t>
      </w:r>
      <w:r>
        <w:rPr>
          <w:rFonts w:hint="eastAsia" w:ascii="宋体" w:hAnsi="宋体" w:cs="宋体"/>
          <w:color w:val="auto"/>
          <w:highlight w:val="none"/>
          <w:u w:val="single"/>
        </w:rPr>
        <w:t>（详细地址）</w:t>
      </w:r>
      <w:r>
        <w:rPr>
          <w:rFonts w:hint="eastAsia" w:ascii="宋体" w:hAnsi="宋体" w:cs="宋体"/>
          <w:color w:val="auto"/>
          <w:highlight w:val="none"/>
        </w:rPr>
        <w:t>或发电子邮件至</w:t>
      </w:r>
    </w:p>
    <w:p w14:paraId="5C136F1D">
      <w:pPr>
        <w:pStyle w:val="18"/>
        <w:widowControl/>
        <w:spacing w:beforeAutospacing="0" w:afterAutospacing="0" w:line="360" w:lineRule="auto"/>
        <w:rPr>
          <w:rFonts w:ascii="宋体" w:cs="Times New Roman"/>
          <w:color w:val="auto"/>
          <w:highlight w:val="none"/>
        </w:rPr>
      </w:pPr>
      <w:r>
        <w:rPr>
          <w:rFonts w:hint="eastAsia" w:ascii="宋体" w:hAnsi="宋体" w:cs="宋体"/>
          <w:color w:val="auto"/>
          <w:highlight w:val="none"/>
        </w:rPr>
        <w:t>（电子邮箱地址）。采用电子邮件方式的，应在年月日</w:t>
      </w:r>
    </w:p>
    <w:p w14:paraId="27F58859">
      <w:pPr>
        <w:pStyle w:val="18"/>
        <w:widowControl/>
        <w:spacing w:beforeAutospacing="0" w:afterAutospacing="0" w:line="360" w:lineRule="auto"/>
        <w:rPr>
          <w:rFonts w:ascii="宋体" w:cs="Times New Roman"/>
          <w:color w:val="auto"/>
          <w:highlight w:val="none"/>
        </w:rPr>
      </w:pPr>
      <w:r>
        <w:rPr>
          <w:rFonts w:hint="eastAsia" w:ascii="宋体" w:hAnsi="宋体" w:cs="宋体"/>
          <w:color w:val="auto"/>
          <w:highlight w:val="none"/>
        </w:rPr>
        <w:t>时前将原件递交至</w:t>
      </w:r>
      <w:r>
        <w:rPr>
          <w:rFonts w:ascii="宋体" w:hAnsi="宋体" w:cs="宋体"/>
          <w:color w:val="auto"/>
          <w:highlight w:val="none"/>
          <w:u w:val="single"/>
        </w:rPr>
        <w:t xml:space="preserve">                           </w:t>
      </w:r>
      <w:r>
        <w:rPr>
          <w:rFonts w:hint="eastAsia" w:ascii="宋体" w:hAnsi="宋体" w:cs="宋体"/>
          <w:color w:val="auto"/>
          <w:highlight w:val="none"/>
          <w:u w:val="single"/>
        </w:rPr>
        <w:t>（详细地址）</w:t>
      </w:r>
      <w:r>
        <w:rPr>
          <w:rFonts w:hint="eastAsia" w:ascii="宋体" w:hAnsi="宋体" w:cs="宋体"/>
          <w:color w:val="auto"/>
          <w:highlight w:val="none"/>
        </w:rPr>
        <w:t>。</w:t>
      </w:r>
    </w:p>
    <w:p w14:paraId="08EC4715">
      <w:pPr>
        <w:pStyle w:val="18"/>
        <w:widowControl/>
        <w:spacing w:beforeAutospacing="0" w:afterAutospacing="0" w:line="360" w:lineRule="auto"/>
        <w:rPr>
          <w:rFonts w:ascii="宋体" w:cs="Times New Roman"/>
          <w:color w:val="auto"/>
          <w:highlight w:val="none"/>
        </w:rPr>
      </w:pPr>
    </w:p>
    <w:p w14:paraId="44D15E34">
      <w:pPr>
        <w:pStyle w:val="18"/>
        <w:widowControl/>
        <w:spacing w:beforeAutospacing="0" w:afterAutospacing="0" w:line="360" w:lineRule="auto"/>
        <w:rPr>
          <w:rFonts w:ascii="宋体" w:cs="Times New Roman"/>
          <w:color w:val="auto"/>
          <w:highlight w:val="none"/>
        </w:rPr>
      </w:pPr>
    </w:p>
    <w:p w14:paraId="34C903BC">
      <w:pPr>
        <w:pStyle w:val="18"/>
        <w:widowControl/>
        <w:spacing w:beforeAutospacing="0" w:afterAutospacing="0" w:line="360" w:lineRule="auto"/>
        <w:ind w:firstLine="420"/>
        <w:rPr>
          <w:rFonts w:ascii="宋体" w:cs="Times New Roman"/>
          <w:color w:val="auto"/>
          <w:highlight w:val="none"/>
        </w:rPr>
      </w:pPr>
      <w:r>
        <w:rPr>
          <w:rFonts w:hint="eastAsia" w:ascii="宋体" w:hAnsi="宋体" w:cs="宋体"/>
          <w:color w:val="auto"/>
          <w:highlight w:val="none"/>
        </w:rPr>
        <w:t>采购人（或采购代理机构）：</w:t>
      </w:r>
      <w:r>
        <w:rPr>
          <w:rFonts w:hint="eastAsia" w:ascii="宋体" w:hAnsi="宋体" w:cs="宋体"/>
          <w:color w:val="auto"/>
          <w:highlight w:val="none"/>
          <w:u w:val="single"/>
        </w:rPr>
        <w:t>（签字或盖单位章）</w:t>
      </w:r>
    </w:p>
    <w:p w14:paraId="0157A6B3">
      <w:pPr>
        <w:spacing w:line="360" w:lineRule="auto"/>
        <w:rPr>
          <w:rFonts w:ascii="宋体" w:cs="Times New Roman"/>
          <w:color w:val="auto"/>
          <w:sz w:val="24"/>
          <w:szCs w:val="24"/>
          <w:highlight w:val="none"/>
        </w:rPr>
      </w:pPr>
    </w:p>
    <w:p w14:paraId="6D3E0B2A">
      <w:pPr>
        <w:spacing w:line="360" w:lineRule="auto"/>
        <w:ind w:firstLine="420"/>
        <w:rPr>
          <w:rFonts w:ascii="宋体" w:cs="Times New Roman"/>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5883CAEC">
      <w:pPr>
        <w:spacing w:line="360" w:lineRule="auto"/>
        <w:rPr>
          <w:rFonts w:ascii="宋体" w:cs="Times New Roman"/>
          <w:color w:val="auto"/>
          <w:highlight w:val="none"/>
        </w:rPr>
      </w:pPr>
      <w:r>
        <w:rPr>
          <w:rFonts w:ascii="宋体" w:cs="Times New Roman"/>
          <w:color w:val="auto"/>
          <w:highlight w:val="none"/>
        </w:rPr>
        <w:br w:type="page"/>
      </w:r>
    </w:p>
    <w:p w14:paraId="021C7AD2">
      <w:pPr>
        <w:pStyle w:val="3"/>
        <w:jc w:val="left"/>
        <w:rPr>
          <w:rFonts w:hint="eastAsia" w:ascii="宋体" w:hAnsi="宋体" w:cs="宋体"/>
          <w:color w:val="auto"/>
          <w:highlight w:val="none"/>
        </w:rPr>
      </w:pPr>
      <w:bookmarkStart w:id="46" w:name="_Toc3525"/>
      <w:bookmarkStart w:id="47" w:name="_Toc30486"/>
      <w:r>
        <w:rPr>
          <w:rFonts w:hint="eastAsia" w:ascii="宋体" w:hAnsi="宋体" w:cs="宋体"/>
          <w:color w:val="auto"/>
          <w:highlight w:val="none"/>
        </w:rPr>
        <w:t>附件3 问题的澄清</w:t>
      </w:r>
      <w:bookmarkEnd w:id="46"/>
      <w:bookmarkEnd w:id="47"/>
    </w:p>
    <w:p w14:paraId="315F0BA2">
      <w:pPr>
        <w:pStyle w:val="18"/>
        <w:widowControl/>
        <w:spacing w:beforeAutospacing="0" w:afterAutospacing="0" w:line="360" w:lineRule="auto"/>
        <w:rPr>
          <w:rFonts w:ascii="宋体" w:cs="Times New Roman"/>
          <w:color w:val="auto"/>
          <w:highlight w:val="none"/>
        </w:rPr>
      </w:pPr>
    </w:p>
    <w:p w14:paraId="37F78E70">
      <w:pPr>
        <w:pStyle w:val="18"/>
        <w:widowControl/>
        <w:spacing w:beforeAutospacing="0" w:afterAutospacing="0" w:line="360" w:lineRule="auto"/>
        <w:rPr>
          <w:rFonts w:ascii="宋体" w:cs="Times New Roman"/>
          <w:color w:val="auto"/>
          <w:highlight w:val="none"/>
        </w:rPr>
      </w:pPr>
    </w:p>
    <w:p w14:paraId="47D89911">
      <w:pPr>
        <w:pStyle w:val="18"/>
        <w:widowControl/>
        <w:spacing w:beforeAutospacing="0" w:afterAutospacing="0" w:line="360" w:lineRule="auto"/>
        <w:jc w:val="center"/>
        <w:rPr>
          <w:rFonts w:ascii="宋体" w:cs="Times New Roman"/>
          <w:color w:val="auto"/>
          <w:sz w:val="36"/>
          <w:szCs w:val="36"/>
          <w:highlight w:val="none"/>
        </w:rPr>
      </w:pPr>
      <w:r>
        <w:rPr>
          <w:rFonts w:hint="eastAsia" w:ascii="宋体" w:hAnsi="宋体" w:cs="宋体"/>
          <w:color w:val="auto"/>
          <w:sz w:val="36"/>
          <w:szCs w:val="36"/>
          <w:highlight w:val="none"/>
        </w:rPr>
        <w:t>问题的澄清</w:t>
      </w:r>
    </w:p>
    <w:p w14:paraId="38CA1295">
      <w:pPr>
        <w:pStyle w:val="18"/>
        <w:widowControl/>
        <w:spacing w:beforeAutospacing="0" w:afterAutospacing="0" w:line="360" w:lineRule="auto"/>
        <w:jc w:val="center"/>
        <w:rPr>
          <w:rFonts w:ascii="宋体" w:cs="Times New Roman"/>
          <w:color w:val="auto"/>
          <w:sz w:val="30"/>
          <w:szCs w:val="30"/>
          <w:highlight w:val="none"/>
        </w:rPr>
      </w:pPr>
      <w:r>
        <w:rPr>
          <w:rFonts w:hint="eastAsia" w:ascii="宋体" w:hAnsi="宋体" w:cs="宋体"/>
          <w:color w:val="auto"/>
          <w:sz w:val="30"/>
          <w:szCs w:val="30"/>
          <w:highlight w:val="none"/>
        </w:rPr>
        <w:t>（编号：）</w:t>
      </w:r>
    </w:p>
    <w:p w14:paraId="57AE357D">
      <w:pPr>
        <w:pStyle w:val="18"/>
        <w:widowControl/>
        <w:spacing w:beforeAutospacing="0" w:afterAutospacing="0" w:line="360" w:lineRule="auto"/>
        <w:jc w:val="center"/>
        <w:rPr>
          <w:rFonts w:ascii="宋体" w:cs="Times New Roman"/>
          <w:color w:val="auto"/>
          <w:sz w:val="21"/>
          <w:szCs w:val="21"/>
          <w:highlight w:val="none"/>
        </w:rPr>
      </w:pPr>
    </w:p>
    <w:p w14:paraId="11A86CDC">
      <w:pPr>
        <w:pStyle w:val="18"/>
        <w:widowControl/>
        <w:spacing w:beforeAutospacing="0" w:afterAutospacing="0" w:line="360" w:lineRule="auto"/>
        <w:jc w:val="center"/>
        <w:rPr>
          <w:rFonts w:ascii="宋体" w:cs="Times New Roman"/>
          <w:color w:val="auto"/>
          <w:sz w:val="21"/>
          <w:szCs w:val="21"/>
          <w:highlight w:val="none"/>
        </w:rPr>
      </w:pPr>
    </w:p>
    <w:p w14:paraId="202E776C">
      <w:pPr>
        <w:pStyle w:val="18"/>
        <w:widowControl/>
        <w:spacing w:beforeAutospacing="0" w:afterAutospacing="0" w:line="360" w:lineRule="auto"/>
        <w:rPr>
          <w:rFonts w:ascii="宋体" w:cs="Times New Roman"/>
          <w:color w:val="auto"/>
          <w:highlight w:val="none"/>
        </w:rPr>
      </w:pPr>
      <w:r>
        <w:rPr>
          <w:rFonts w:hint="eastAsia" w:ascii="宋体" w:hAnsi="宋体" w:cs="宋体"/>
          <w:color w:val="auto"/>
          <w:highlight w:val="none"/>
        </w:rPr>
        <w:t>评审小组：</w:t>
      </w:r>
    </w:p>
    <w:p w14:paraId="5B29BF5B">
      <w:pPr>
        <w:pStyle w:val="18"/>
        <w:widowControl/>
        <w:spacing w:beforeAutospacing="0" w:afterAutospacing="0" w:line="360" w:lineRule="auto"/>
        <w:rPr>
          <w:rFonts w:ascii="宋体" w:cs="Times New Roman"/>
          <w:color w:val="auto"/>
          <w:highlight w:val="none"/>
        </w:rPr>
      </w:pPr>
    </w:p>
    <w:p w14:paraId="37151154">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问题澄清通知（编号：）已收悉，现澄清、说明和补正如下：</w:t>
      </w:r>
    </w:p>
    <w:p w14:paraId="01A02DB8">
      <w:pPr>
        <w:pStyle w:val="18"/>
        <w:widowControl/>
        <w:spacing w:beforeAutospacing="0" w:afterAutospacing="0" w:line="360" w:lineRule="auto"/>
        <w:ind w:firstLine="480" w:firstLineChars="200"/>
        <w:rPr>
          <w:rFonts w:ascii="宋体" w:cs="Times New Roman"/>
          <w:color w:val="auto"/>
          <w:highlight w:val="none"/>
        </w:rPr>
      </w:pPr>
    </w:p>
    <w:p w14:paraId="766A0977">
      <w:pPr>
        <w:pStyle w:val="18"/>
        <w:widowControl/>
        <w:spacing w:beforeAutospacing="0" w:afterAutospacing="0" w:line="360" w:lineRule="auto"/>
        <w:ind w:firstLine="480" w:firstLineChars="200"/>
        <w:rPr>
          <w:rFonts w:ascii="宋体" w:cs="Times New Roman"/>
          <w:color w:val="auto"/>
          <w:highlight w:val="none"/>
        </w:rPr>
      </w:pPr>
      <w:r>
        <w:rPr>
          <w:rFonts w:ascii="宋体" w:hAnsi="宋体" w:cs="宋体"/>
          <w:color w:val="auto"/>
          <w:highlight w:val="none"/>
        </w:rPr>
        <w:t>1</w:t>
      </w:r>
      <w:r>
        <w:rPr>
          <w:rFonts w:hint="eastAsia" w:ascii="宋体" w:hAnsi="宋体" w:cs="宋体"/>
          <w:color w:val="auto"/>
          <w:highlight w:val="none"/>
        </w:rPr>
        <w:t>、</w:t>
      </w:r>
    </w:p>
    <w:p w14:paraId="106C1FE5">
      <w:pPr>
        <w:pStyle w:val="18"/>
        <w:widowControl/>
        <w:spacing w:beforeAutospacing="0" w:afterAutospacing="0" w:line="360" w:lineRule="auto"/>
        <w:ind w:firstLine="480" w:firstLineChars="200"/>
        <w:rPr>
          <w:rFonts w:ascii="宋体" w:cs="Times New Roman"/>
          <w:color w:val="auto"/>
          <w:highlight w:val="none"/>
        </w:rPr>
      </w:pPr>
      <w:r>
        <w:rPr>
          <w:rFonts w:ascii="宋体" w:hAnsi="宋体" w:cs="宋体"/>
          <w:color w:val="auto"/>
          <w:highlight w:val="none"/>
        </w:rPr>
        <w:t>2</w:t>
      </w:r>
      <w:r>
        <w:rPr>
          <w:rFonts w:hint="eastAsia" w:ascii="宋体" w:hAnsi="宋体" w:cs="宋体"/>
          <w:color w:val="auto"/>
          <w:highlight w:val="none"/>
        </w:rPr>
        <w:t>、</w:t>
      </w:r>
    </w:p>
    <w:p w14:paraId="0F05D2D3">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w:t>
      </w:r>
    </w:p>
    <w:p w14:paraId="59315D53">
      <w:pPr>
        <w:pStyle w:val="18"/>
        <w:widowControl/>
        <w:spacing w:beforeAutospacing="0" w:afterAutospacing="0" w:line="360" w:lineRule="auto"/>
        <w:ind w:firstLine="480" w:firstLineChars="200"/>
        <w:rPr>
          <w:rFonts w:ascii="宋体" w:cs="Times New Roman"/>
          <w:color w:val="auto"/>
          <w:highlight w:val="none"/>
        </w:rPr>
      </w:pPr>
    </w:p>
    <w:p w14:paraId="429CFD30">
      <w:pPr>
        <w:pStyle w:val="18"/>
        <w:widowControl/>
        <w:spacing w:beforeAutospacing="0" w:afterAutospacing="0" w:line="360" w:lineRule="auto"/>
        <w:rPr>
          <w:rFonts w:ascii="宋体" w:cs="Times New Roman"/>
          <w:color w:val="auto"/>
          <w:highlight w:val="none"/>
        </w:rPr>
      </w:pPr>
      <w:r>
        <w:rPr>
          <w:rFonts w:ascii="宋体" w:hAnsi="宋体" w:cs="宋体"/>
          <w:color w:val="auto"/>
          <w:highlight w:val="none"/>
        </w:rPr>
        <w:t xml:space="preserve">    </w:t>
      </w:r>
      <w:r>
        <w:rPr>
          <w:rFonts w:hint="eastAsia" w:ascii="宋体" w:hAnsi="宋体" w:cs="宋体"/>
          <w:color w:val="auto"/>
          <w:highlight w:val="none"/>
        </w:rPr>
        <w:t>上述问题澄清、说明和补正，构成我方响应文件的组成部分。</w:t>
      </w:r>
    </w:p>
    <w:p w14:paraId="5DA26E7C">
      <w:pPr>
        <w:pStyle w:val="18"/>
        <w:widowControl/>
        <w:spacing w:beforeAutospacing="0" w:afterAutospacing="0" w:line="360" w:lineRule="auto"/>
        <w:rPr>
          <w:rFonts w:ascii="宋体" w:cs="Times New Roman"/>
          <w:color w:val="auto"/>
          <w:highlight w:val="none"/>
        </w:rPr>
      </w:pPr>
    </w:p>
    <w:p w14:paraId="48A557E4">
      <w:pPr>
        <w:pStyle w:val="18"/>
        <w:widowControl/>
        <w:spacing w:beforeAutospacing="0" w:afterAutospacing="0" w:line="360" w:lineRule="auto"/>
        <w:rPr>
          <w:rFonts w:ascii="宋体" w:cs="Times New Roman"/>
          <w:color w:val="auto"/>
          <w:highlight w:val="none"/>
        </w:rPr>
      </w:pPr>
    </w:p>
    <w:p w14:paraId="300F90B9">
      <w:pPr>
        <w:pStyle w:val="18"/>
        <w:widowControl/>
        <w:spacing w:beforeAutospacing="0" w:afterAutospacing="0" w:line="360" w:lineRule="auto"/>
        <w:ind w:firstLine="1920" w:firstLineChars="800"/>
        <w:rPr>
          <w:rFonts w:ascii="宋体" w:cs="Times New Roman"/>
          <w:color w:val="auto"/>
          <w:highlight w:val="none"/>
        </w:rPr>
      </w:pPr>
      <w:r>
        <w:rPr>
          <w:rFonts w:hint="eastAsia" w:ascii="宋体" w:hAnsi="宋体" w:cs="宋体"/>
          <w:color w:val="auto"/>
          <w:highlight w:val="none"/>
        </w:rPr>
        <w:t>询比响应人∶</w:t>
      </w:r>
      <w:r>
        <w:rPr>
          <w:rFonts w:hint="eastAsia" w:ascii="宋体" w:hAnsi="宋体" w:cs="宋体"/>
          <w:color w:val="auto"/>
          <w:highlight w:val="none"/>
          <w:u w:val="single"/>
        </w:rPr>
        <w:t>（盖单位盖）</w:t>
      </w:r>
    </w:p>
    <w:p w14:paraId="3A615D71">
      <w:pPr>
        <w:pStyle w:val="18"/>
        <w:widowControl/>
        <w:spacing w:beforeAutospacing="0" w:afterAutospacing="0" w:line="360" w:lineRule="auto"/>
        <w:ind w:firstLine="1920" w:firstLineChars="800"/>
        <w:rPr>
          <w:rFonts w:ascii="宋体" w:cs="Times New Roman"/>
          <w:color w:val="auto"/>
          <w:highlight w:val="none"/>
        </w:rPr>
      </w:pPr>
      <w:r>
        <w:rPr>
          <w:rFonts w:hint="eastAsia" w:ascii="宋体" w:hAnsi="宋体" w:cs="宋体"/>
          <w:color w:val="auto"/>
          <w:highlight w:val="none"/>
        </w:rPr>
        <w:t>或法定代表人（单位负责人）或其授权的代理人：</w:t>
      </w:r>
      <w:r>
        <w:rPr>
          <w:rFonts w:hint="eastAsia" w:ascii="宋体" w:hAnsi="宋体" w:cs="宋体"/>
          <w:color w:val="auto"/>
          <w:highlight w:val="none"/>
          <w:u w:val="single"/>
        </w:rPr>
        <w:t>（签字）</w:t>
      </w:r>
    </w:p>
    <w:p w14:paraId="7410CDBB">
      <w:pPr>
        <w:spacing w:line="360" w:lineRule="auto"/>
        <w:rPr>
          <w:rFonts w:ascii="宋体" w:cs="Times New Roman"/>
          <w:color w:val="auto"/>
          <w:sz w:val="24"/>
          <w:szCs w:val="24"/>
          <w:highlight w:val="none"/>
        </w:rPr>
      </w:pPr>
    </w:p>
    <w:p w14:paraId="447934EE">
      <w:pPr>
        <w:spacing w:line="360" w:lineRule="auto"/>
        <w:rPr>
          <w:rFonts w:ascii="宋体" w:cs="Times New Roman"/>
          <w:color w:val="auto"/>
          <w:sz w:val="24"/>
          <w:szCs w:val="24"/>
          <w:highlight w:val="none"/>
        </w:rPr>
      </w:pPr>
    </w:p>
    <w:p w14:paraId="348AE903">
      <w:pPr>
        <w:spacing w:line="360" w:lineRule="auto"/>
        <w:ind w:firstLine="3120" w:firstLineChars="1300"/>
        <w:rPr>
          <w:rFonts w:ascii="宋体" w:cs="Times New Roman"/>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5DCB574F">
      <w:pPr>
        <w:spacing w:line="360" w:lineRule="auto"/>
        <w:rPr>
          <w:rFonts w:ascii="宋体" w:cs="Times New Roman"/>
          <w:color w:val="auto"/>
          <w:highlight w:val="none"/>
        </w:rPr>
      </w:pPr>
      <w:r>
        <w:rPr>
          <w:rFonts w:ascii="宋体" w:cs="Times New Roman"/>
          <w:color w:val="auto"/>
          <w:highlight w:val="none"/>
        </w:rPr>
        <w:br w:type="page"/>
      </w:r>
    </w:p>
    <w:p w14:paraId="3483A702">
      <w:pPr>
        <w:pStyle w:val="3"/>
        <w:jc w:val="left"/>
        <w:rPr>
          <w:rFonts w:hint="eastAsia" w:ascii="宋体" w:hAnsi="宋体" w:cs="宋体"/>
          <w:color w:val="auto"/>
          <w:highlight w:val="none"/>
        </w:rPr>
      </w:pPr>
      <w:bookmarkStart w:id="48" w:name="_Toc13701"/>
      <w:bookmarkStart w:id="49" w:name="_Toc2348"/>
      <w:r>
        <w:rPr>
          <w:rFonts w:hint="eastAsia" w:ascii="宋体" w:hAnsi="宋体" w:cs="宋体"/>
          <w:color w:val="auto"/>
          <w:highlight w:val="none"/>
        </w:rPr>
        <w:t>附件4 成交通知书</w:t>
      </w:r>
      <w:bookmarkEnd w:id="48"/>
      <w:bookmarkEnd w:id="49"/>
    </w:p>
    <w:p w14:paraId="4B730C17">
      <w:pPr>
        <w:pStyle w:val="18"/>
        <w:widowControl/>
        <w:spacing w:beforeAutospacing="0" w:afterAutospacing="0" w:line="360" w:lineRule="auto"/>
        <w:rPr>
          <w:rFonts w:ascii="宋体" w:cs="Times New Roman"/>
          <w:color w:val="auto"/>
          <w:highlight w:val="none"/>
        </w:rPr>
      </w:pPr>
    </w:p>
    <w:p w14:paraId="3A8A58D5">
      <w:pPr>
        <w:pStyle w:val="18"/>
        <w:widowControl/>
        <w:spacing w:beforeAutospacing="0" w:afterAutospacing="0" w:line="360" w:lineRule="auto"/>
        <w:rPr>
          <w:rFonts w:ascii="宋体" w:cs="Times New Roman"/>
          <w:color w:val="auto"/>
          <w:highlight w:val="none"/>
        </w:rPr>
      </w:pPr>
    </w:p>
    <w:p w14:paraId="2E3DBE50">
      <w:pPr>
        <w:pStyle w:val="18"/>
        <w:widowControl/>
        <w:spacing w:beforeAutospacing="0" w:afterAutospacing="0" w:line="360" w:lineRule="auto"/>
        <w:jc w:val="center"/>
        <w:rPr>
          <w:rFonts w:ascii="宋体" w:cs="Times New Roman"/>
          <w:color w:val="auto"/>
          <w:sz w:val="30"/>
          <w:szCs w:val="30"/>
          <w:highlight w:val="none"/>
        </w:rPr>
      </w:pPr>
      <w:r>
        <w:rPr>
          <w:rFonts w:hint="eastAsia" w:ascii="宋体" w:hAnsi="宋体" w:cs="宋体"/>
          <w:color w:val="auto"/>
          <w:sz w:val="36"/>
          <w:szCs w:val="36"/>
          <w:highlight w:val="none"/>
        </w:rPr>
        <w:t>成交通知书</w:t>
      </w:r>
    </w:p>
    <w:p w14:paraId="32D01297">
      <w:pPr>
        <w:pStyle w:val="18"/>
        <w:widowControl/>
        <w:spacing w:beforeAutospacing="0" w:afterAutospacing="0" w:line="360" w:lineRule="auto"/>
        <w:jc w:val="center"/>
        <w:rPr>
          <w:rFonts w:ascii="宋体" w:cs="Times New Roman"/>
          <w:color w:val="auto"/>
          <w:sz w:val="21"/>
          <w:szCs w:val="21"/>
          <w:highlight w:val="none"/>
        </w:rPr>
      </w:pPr>
    </w:p>
    <w:p w14:paraId="35F5FF4B">
      <w:pPr>
        <w:pStyle w:val="18"/>
        <w:widowControl/>
        <w:spacing w:beforeAutospacing="0" w:afterAutospacing="0" w:line="360" w:lineRule="auto"/>
        <w:jc w:val="center"/>
        <w:rPr>
          <w:rFonts w:ascii="宋体" w:cs="Times New Roman"/>
          <w:color w:val="auto"/>
          <w:sz w:val="21"/>
          <w:szCs w:val="21"/>
          <w:highlight w:val="none"/>
        </w:rPr>
      </w:pPr>
    </w:p>
    <w:p w14:paraId="773853FB">
      <w:pPr>
        <w:pStyle w:val="18"/>
        <w:widowControl/>
        <w:spacing w:beforeAutospacing="0" w:afterAutospacing="0" w:line="360" w:lineRule="auto"/>
        <w:jc w:val="both"/>
        <w:rPr>
          <w:rFonts w:ascii="宋体" w:cs="Times New Roman"/>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u w:val="single"/>
        </w:rPr>
        <w:t>（成交询比响应人名称）</w:t>
      </w:r>
      <w:r>
        <w:rPr>
          <w:rFonts w:hint="eastAsia" w:ascii="宋体" w:hAnsi="宋体" w:cs="宋体"/>
          <w:color w:val="auto"/>
          <w:highlight w:val="none"/>
        </w:rPr>
        <w:t>：</w:t>
      </w:r>
    </w:p>
    <w:p w14:paraId="08BA48F1">
      <w:pPr>
        <w:pStyle w:val="18"/>
        <w:widowControl/>
        <w:spacing w:beforeAutospacing="0" w:afterAutospacing="0" w:line="360" w:lineRule="auto"/>
        <w:ind w:firstLine="480" w:firstLineChars="200"/>
        <w:rPr>
          <w:rFonts w:ascii="宋体" w:cs="Times New Roman"/>
          <w:color w:val="auto"/>
          <w:highlight w:val="none"/>
        </w:rPr>
      </w:pPr>
    </w:p>
    <w:p w14:paraId="7BCE0E3B">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你方所递交的</w:t>
      </w:r>
      <w:r>
        <w:rPr>
          <w:rFonts w:ascii="宋体" w:hAnsi="宋体" w:cs="宋体"/>
          <w:color w:val="auto"/>
          <w:highlight w:val="none"/>
          <w:u w:val="single"/>
        </w:rPr>
        <w:t xml:space="preserve">             </w:t>
      </w:r>
      <w:r>
        <w:rPr>
          <w:rFonts w:hint="eastAsia" w:ascii="宋体" w:hAnsi="宋体" w:cs="宋体"/>
          <w:color w:val="auto"/>
          <w:highlight w:val="none"/>
          <w:u w:val="single"/>
        </w:rPr>
        <w:t>（项目名称）</w:t>
      </w:r>
      <w:r>
        <w:rPr>
          <w:rFonts w:hint="eastAsia" w:ascii="宋体" w:hAnsi="宋体" w:cs="宋体"/>
          <w:color w:val="auto"/>
          <w:highlight w:val="none"/>
        </w:rPr>
        <w:t>的响应文件已被我方接受，被确定为成交询比响应人。</w:t>
      </w:r>
    </w:p>
    <w:p w14:paraId="786F022D">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成交价：。</w:t>
      </w:r>
    </w:p>
    <w:p w14:paraId="09E63E6E">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成交份额：。（如有）</w:t>
      </w:r>
    </w:p>
    <w:p w14:paraId="1E5065C7">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请你方在接到本通知书后的日内到</w:t>
      </w:r>
      <w:r>
        <w:rPr>
          <w:rFonts w:ascii="宋体" w:hAnsi="宋体" w:cs="宋体"/>
          <w:color w:val="auto"/>
          <w:highlight w:val="none"/>
          <w:u w:val="single"/>
        </w:rPr>
        <w:t xml:space="preserve">             </w:t>
      </w:r>
      <w:r>
        <w:rPr>
          <w:rFonts w:hint="eastAsia" w:ascii="宋体" w:hAnsi="宋体" w:cs="宋体"/>
          <w:color w:val="auto"/>
          <w:highlight w:val="none"/>
          <w:u w:val="single"/>
        </w:rPr>
        <w:t>（指定地点）</w:t>
      </w:r>
      <w:r>
        <w:rPr>
          <w:rFonts w:hint="eastAsia" w:ascii="宋体" w:hAnsi="宋体" w:cs="宋体"/>
          <w:color w:val="auto"/>
          <w:highlight w:val="none"/>
        </w:rPr>
        <w:t>与我方签订招标合同，并按采购文件第二章“询比响应人须知”第</w:t>
      </w:r>
      <w:r>
        <w:rPr>
          <w:rFonts w:ascii="宋体" w:hAnsi="宋体" w:cs="宋体"/>
          <w:color w:val="auto"/>
          <w:highlight w:val="none"/>
        </w:rPr>
        <w:t>7.6</w:t>
      </w:r>
      <w:r>
        <w:rPr>
          <w:rFonts w:hint="eastAsia" w:ascii="宋体" w:hAnsi="宋体" w:cs="宋体"/>
          <w:color w:val="auto"/>
          <w:highlight w:val="none"/>
        </w:rPr>
        <w:t>款规定向我方递交履约保证金。</w:t>
      </w:r>
    </w:p>
    <w:p w14:paraId="1162417D">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特此通知。</w:t>
      </w:r>
    </w:p>
    <w:p w14:paraId="1BD256F2">
      <w:pPr>
        <w:pStyle w:val="18"/>
        <w:widowControl/>
        <w:spacing w:beforeAutospacing="0" w:afterAutospacing="0" w:line="360" w:lineRule="auto"/>
        <w:rPr>
          <w:rFonts w:ascii="宋体" w:cs="Times New Roman"/>
          <w:color w:val="auto"/>
          <w:highlight w:val="none"/>
        </w:rPr>
      </w:pPr>
    </w:p>
    <w:p w14:paraId="73B35E0A">
      <w:pPr>
        <w:pStyle w:val="18"/>
        <w:widowControl/>
        <w:spacing w:beforeAutospacing="0" w:afterAutospacing="0" w:line="360" w:lineRule="auto"/>
        <w:ind w:firstLine="3360" w:firstLineChars="1400"/>
        <w:rPr>
          <w:rFonts w:ascii="宋体" w:cs="Times New Roman"/>
          <w:color w:val="auto"/>
          <w:highlight w:val="none"/>
        </w:rPr>
      </w:pPr>
      <w:r>
        <w:rPr>
          <w:rFonts w:hint="eastAsia" w:ascii="宋体" w:hAnsi="宋体" w:cs="宋体"/>
          <w:color w:val="auto"/>
          <w:highlight w:val="none"/>
        </w:rPr>
        <w:t>采购人（或采购代理机构）∶</w:t>
      </w:r>
      <w:r>
        <w:rPr>
          <w:rFonts w:hint="eastAsia" w:ascii="宋体" w:hAnsi="宋体" w:cs="宋体"/>
          <w:color w:val="auto"/>
          <w:highlight w:val="none"/>
          <w:u w:val="single"/>
        </w:rPr>
        <w:t>（盖单位章）</w:t>
      </w:r>
    </w:p>
    <w:p w14:paraId="3182DB02">
      <w:pPr>
        <w:spacing w:line="360" w:lineRule="auto"/>
        <w:rPr>
          <w:rFonts w:ascii="宋体" w:cs="Times New Roman"/>
          <w:color w:val="auto"/>
          <w:sz w:val="24"/>
          <w:szCs w:val="24"/>
          <w:highlight w:val="none"/>
        </w:rPr>
      </w:pPr>
    </w:p>
    <w:p w14:paraId="22A83F6D">
      <w:pPr>
        <w:spacing w:line="360" w:lineRule="auto"/>
        <w:ind w:firstLine="4560" w:firstLineChars="1900"/>
        <w:rPr>
          <w:rFonts w:hint="eastAsia" w:ascii="宋体" w:hAnsi="宋体" w:cs="宋体"/>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0FCE3981">
      <w:pPr>
        <w:spacing w:line="360" w:lineRule="auto"/>
        <w:rPr>
          <w:rFonts w:ascii="宋体" w:cs="Times New Roman"/>
          <w:color w:val="auto"/>
          <w:highlight w:val="none"/>
        </w:rPr>
      </w:pPr>
      <w:r>
        <w:rPr>
          <w:rFonts w:ascii="宋体" w:cs="Times New Roman"/>
          <w:color w:val="auto"/>
          <w:highlight w:val="none"/>
        </w:rPr>
        <w:br w:type="page"/>
      </w:r>
    </w:p>
    <w:p w14:paraId="3052A4A9">
      <w:pPr>
        <w:pStyle w:val="3"/>
        <w:jc w:val="left"/>
        <w:rPr>
          <w:rFonts w:hint="eastAsia" w:ascii="宋体" w:hAnsi="宋体" w:cs="宋体"/>
          <w:color w:val="auto"/>
          <w:highlight w:val="none"/>
        </w:rPr>
      </w:pPr>
      <w:bookmarkStart w:id="50" w:name="_Toc29265"/>
      <w:bookmarkStart w:id="51" w:name="_Toc6067"/>
      <w:r>
        <w:rPr>
          <w:rFonts w:hint="eastAsia" w:ascii="宋体" w:hAnsi="宋体" w:cs="宋体"/>
          <w:color w:val="auto"/>
          <w:highlight w:val="none"/>
        </w:rPr>
        <w:t>附件5 确认通知</w:t>
      </w:r>
      <w:bookmarkEnd w:id="50"/>
      <w:bookmarkEnd w:id="51"/>
    </w:p>
    <w:p w14:paraId="183ABE32">
      <w:pPr>
        <w:pStyle w:val="18"/>
        <w:widowControl/>
        <w:spacing w:beforeAutospacing="0" w:afterAutospacing="0" w:line="360" w:lineRule="auto"/>
        <w:rPr>
          <w:rFonts w:ascii="宋体" w:cs="Times New Roman"/>
          <w:color w:val="auto"/>
          <w:highlight w:val="none"/>
        </w:rPr>
      </w:pPr>
    </w:p>
    <w:p w14:paraId="2F0A0ABE">
      <w:pPr>
        <w:pStyle w:val="18"/>
        <w:widowControl/>
        <w:spacing w:beforeAutospacing="0" w:afterAutospacing="0" w:line="360" w:lineRule="auto"/>
        <w:jc w:val="center"/>
        <w:rPr>
          <w:rFonts w:ascii="宋体" w:cs="Times New Roman"/>
          <w:color w:val="auto"/>
          <w:sz w:val="36"/>
          <w:szCs w:val="36"/>
          <w:highlight w:val="none"/>
        </w:rPr>
      </w:pPr>
      <w:r>
        <w:rPr>
          <w:rFonts w:hint="eastAsia" w:ascii="宋体" w:hAnsi="宋体" w:cs="宋体"/>
          <w:color w:val="auto"/>
          <w:sz w:val="36"/>
          <w:szCs w:val="36"/>
          <w:highlight w:val="none"/>
        </w:rPr>
        <w:t>确</w:t>
      </w:r>
      <w:r>
        <w:rPr>
          <w:rFonts w:ascii="宋体" w:hAnsi="宋体" w:cs="宋体"/>
          <w:color w:val="auto"/>
          <w:sz w:val="36"/>
          <w:szCs w:val="36"/>
          <w:highlight w:val="none"/>
        </w:rPr>
        <w:t xml:space="preserve"> </w:t>
      </w:r>
      <w:r>
        <w:rPr>
          <w:rFonts w:hint="eastAsia" w:ascii="宋体" w:hAnsi="宋体" w:cs="宋体"/>
          <w:color w:val="auto"/>
          <w:sz w:val="36"/>
          <w:szCs w:val="36"/>
          <w:highlight w:val="none"/>
        </w:rPr>
        <w:t>认</w:t>
      </w:r>
      <w:r>
        <w:rPr>
          <w:rFonts w:ascii="宋体" w:hAnsi="宋体" w:cs="宋体"/>
          <w:color w:val="auto"/>
          <w:sz w:val="36"/>
          <w:szCs w:val="36"/>
          <w:highlight w:val="none"/>
        </w:rPr>
        <w:t xml:space="preserve"> </w:t>
      </w:r>
      <w:r>
        <w:rPr>
          <w:rFonts w:hint="eastAsia" w:ascii="宋体" w:hAnsi="宋体" w:cs="宋体"/>
          <w:color w:val="auto"/>
          <w:sz w:val="36"/>
          <w:szCs w:val="36"/>
          <w:highlight w:val="none"/>
        </w:rPr>
        <w:t>通</w:t>
      </w:r>
      <w:r>
        <w:rPr>
          <w:rFonts w:ascii="宋体" w:hAnsi="宋体" w:cs="宋体"/>
          <w:color w:val="auto"/>
          <w:sz w:val="36"/>
          <w:szCs w:val="36"/>
          <w:highlight w:val="none"/>
        </w:rPr>
        <w:t xml:space="preserve"> </w:t>
      </w:r>
      <w:r>
        <w:rPr>
          <w:rFonts w:hint="eastAsia" w:ascii="宋体" w:hAnsi="宋体" w:cs="宋体"/>
          <w:color w:val="auto"/>
          <w:sz w:val="36"/>
          <w:szCs w:val="36"/>
          <w:highlight w:val="none"/>
        </w:rPr>
        <w:t>知</w:t>
      </w:r>
    </w:p>
    <w:p w14:paraId="5026B17D">
      <w:pPr>
        <w:pStyle w:val="18"/>
        <w:widowControl/>
        <w:spacing w:beforeAutospacing="0" w:afterAutospacing="0" w:line="360" w:lineRule="auto"/>
        <w:jc w:val="center"/>
        <w:rPr>
          <w:rFonts w:ascii="宋体" w:cs="Times New Roman"/>
          <w:color w:val="auto"/>
          <w:sz w:val="21"/>
          <w:szCs w:val="21"/>
          <w:highlight w:val="none"/>
        </w:rPr>
      </w:pPr>
    </w:p>
    <w:p w14:paraId="7D8D0F11">
      <w:pPr>
        <w:pStyle w:val="18"/>
        <w:widowControl/>
        <w:spacing w:beforeAutospacing="0" w:afterAutospacing="0" w:line="360" w:lineRule="auto"/>
        <w:jc w:val="center"/>
        <w:rPr>
          <w:rFonts w:ascii="宋体" w:cs="Times New Roman"/>
          <w:color w:val="auto"/>
          <w:sz w:val="21"/>
          <w:szCs w:val="21"/>
          <w:highlight w:val="none"/>
        </w:rPr>
      </w:pPr>
    </w:p>
    <w:p w14:paraId="16AAAAB8">
      <w:pPr>
        <w:pStyle w:val="18"/>
        <w:widowControl/>
        <w:spacing w:beforeAutospacing="0" w:afterAutospacing="0" w:line="360" w:lineRule="auto"/>
        <w:jc w:val="both"/>
        <w:rPr>
          <w:rFonts w:ascii="宋体" w:cs="Times New Roman"/>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u w:val="single"/>
        </w:rPr>
        <w:t>（采购人或采购代理机构名称）</w:t>
      </w:r>
      <w:r>
        <w:rPr>
          <w:rFonts w:hint="eastAsia" w:ascii="宋体" w:hAnsi="宋体" w:cs="宋体"/>
          <w:color w:val="auto"/>
          <w:highlight w:val="none"/>
        </w:rPr>
        <w:t>：</w:t>
      </w:r>
    </w:p>
    <w:p w14:paraId="6AB453E6">
      <w:pPr>
        <w:pStyle w:val="18"/>
        <w:widowControl/>
        <w:spacing w:beforeAutospacing="0" w:afterAutospacing="0" w:line="360" w:lineRule="auto"/>
        <w:ind w:firstLine="480" w:firstLineChars="200"/>
        <w:rPr>
          <w:rFonts w:ascii="宋体" w:cs="Times New Roman"/>
          <w:color w:val="auto"/>
          <w:highlight w:val="none"/>
        </w:rPr>
      </w:pPr>
    </w:p>
    <w:p w14:paraId="343D8A34">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你方于年月日发出的</w:t>
      </w:r>
      <w:r>
        <w:rPr>
          <w:rFonts w:ascii="宋体" w:hAnsi="宋体" w:cs="宋体"/>
          <w:color w:val="auto"/>
          <w:highlight w:val="none"/>
          <w:u w:val="single"/>
        </w:rPr>
        <w:t xml:space="preserve">            </w:t>
      </w:r>
      <w:r>
        <w:rPr>
          <w:rFonts w:hint="eastAsia" w:ascii="宋体" w:hAnsi="宋体" w:cs="宋体"/>
          <w:color w:val="auto"/>
          <w:highlight w:val="none"/>
          <w:u w:val="single"/>
        </w:rPr>
        <w:t>（项目名称）</w:t>
      </w:r>
      <w:r>
        <w:rPr>
          <w:rFonts w:hint="eastAsia" w:ascii="宋体" w:hAnsi="宋体" w:cs="宋体"/>
          <w:color w:val="auto"/>
          <w:highlight w:val="none"/>
        </w:rPr>
        <w:t>采购文件的澄清</w:t>
      </w:r>
      <w:r>
        <w:rPr>
          <w:rFonts w:ascii="宋体" w:hAnsi="宋体" w:cs="宋体"/>
          <w:color w:val="auto"/>
          <w:highlight w:val="none"/>
        </w:rPr>
        <w:t>/</w:t>
      </w:r>
      <w:r>
        <w:rPr>
          <w:rFonts w:hint="eastAsia" w:ascii="宋体" w:hAnsi="宋体" w:cs="宋体"/>
          <w:color w:val="auto"/>
          <w:highlight w:val="none"/>
        </w:rPr>
        <w:t>修改的通知，我方已于年月日收到。</w:t>
      </w:r>
    </w:p>
    <w:p w14:paraId="2FA82AD9">
      <w:pPr>
        <w:pStyle w:val="18"/>
        <w:widowControl/>
        <w:spacing w:beforeAutospacing="0" w:afterAutospacing="0" w:line="360" w:lineRule="auto"/>
        <w:ind w:firstLine="480" w:firstLineChars="200"/>
        <w:rPr>
          <w:rFonts w:ascii="宋体" w:cs="Times New Roman"/>
          <w:color w:val="auto"/>
          <w:highlight w:val="none"/>
        </w:rPr>
      </w:pPr>
      <w:r>
        <w:rPr>
          <w:rFonts w:hint="eastAsia" w:ascii="宋体" w:hAnsi="宋体" w:cs="宋体"/>
          <w:color w:val="auto"/>
          <w:highlight w:val="none"/>
        </w:rPr>
        <w:t>特此确认。</w:t>
      </w:r>
    </w:p>
    <w:p w14:paraId="64B552F7">
      <w:pPr>
        <w:pStyle w:val="18"/>
        <w:widowControl/>
        <w:spacing w:beforeAutospacing="0" w:afterAutospacing="0" w:line="360" w:lineRule="auto"/>
        <w:ind w:firstLine="480" w:firstLineChars="200"/>
        <w:rPr>
          <w:rFonts w:ascii="宋体" w:cs="Times New Roman"/>
          <w:color w:val="auto"/>
          <w:highlight w:val="none"/>
        </w:rPr>
      </w:pPr>
    </w:p>
    <w:p w14:paraId="1DE59519">
      <w:pPr>
        <w:pStyle w:val="18"/>
        <w:widowControl/>
        <w:spacing w:beforeAutospacing="0" w:afterAutospacing="0" w:line="360" w:lineRule="auto"/>
        <w:ind w:firstLine="480" w:firstLineChars="200"/>
        <w:rPr>
          <w:rFonts w:ascii="宋体" w:cs="Times New Roman"/>
          <w:color w:val="auto"/>
          <w:highlight w:val="none"/>
        </w:rPr>
      </w:pPr>
    </w:p>
    <w:p w14:paraId="31030668">
      <w:pPr>
        <w:pStyle w:val="18"/>
        <w:widowControl/>
        <w:spacing w:beforeAutospacing="0" w:afterAutospacing="0" w:line="360" w:lineRule="auto"/>
        <w:ind w:firstLine="4800" w:firstLineChars="2000"/>
        <w:rPr>
          <w:rFonts w:ascii="宋体" w:cs="Times New Roman"/>
          <w:color w:val="auto"/>
          <w:highlight w:val="none"/>
        </w:rPr>
      </w:pPr>
      <w:r>
        <w:rPr>
          <w:rFonts w:hint="eastAsia" w:ascii="宋体" w:hAnsi="宋体" w:cs="宋体"/>
          <w:color w:val="auto"/>
          <w:highlight w:val="none"/>
        </w:rPr>
        <w:t>询比响应人∶</w:t>
      </w:r>
      <w:r>
        <w:rPr>
          <w:rFonts w:hint="eastAsia" w:ascii="宋体" w:hAnsi="宋体" w:cs="宋体"/>
          <w:color w:val="auto"/>
          <w:highlight w:val="none"/>
          <w:u w:val="single"/>
        </w:rPr>
        <w:t>（盖单位章）</w:t>
      </w:r>
    </w:p>
    <w:p w14:paraId="4B62530D">
      <w:pPr>
        <w:spacing w:line="360" w:lineRule="auto"/>
        <w:ind w:firstLine="5280" w:firstLineChars="2200"/>
        <w:rPr>
          <w:rFonts w:ascii="宋体" w:cs="Times New Roman"/>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6AD06B98">
      <w:pPr>
        <w:pStyle w:val="3"/>
        <w:jc w:val="left"/>
        <w:rPr>
          <w:rFonts w:ascii="宋体" w:cs="Times New Roman"/>
          <w:b/>
          <w:bCs/>
          <w:color w:val="auto"/>
          <w:sz w:val="44"/>
          <w:szCs w:val="44"/>
          <w:highlight w:val="none"/>
        </w:rPr>
      </w:pPr>
      <w:r>
        <w:rPr>
          <w:rFonts w:ascii="宋体" w:cs="Times New Roman"/>
          <w:b/>
          <w:bCs/>
          <w:color w:val="auto"/>
          <w:sz w:val="44"/>
          <w:szCs w:val="44"/>
          <w:highlight w:val="none"/>
        </w:rPr>
        <w:br w:type="page"/>
      </w:r>
    </w:p>
    <w:p w14:paraId="6AF3C4AF">
      <w:pPr>
        <w:pStyle w:val="2"/>
        <w:bidi w:val="0"/>
        <w:rPr>
          <w:color w:val="auto"/>
        </w:rPr>
      </w:pPr>
      <w:bookmarkStart w:id="52" w:name="_Toc9628"/>
      <w:r>
        <w:rPr>
          <w:rFonts w:hint="eastAsia"/>
          <w:color w:val="auto"/>
        </w:rPr>
        <w:t>第三章</w:t>
      </w:r>
      <w:r>
        <w:rPr>
          <w:color w:val="auto"/>
        </w:rPr>
        <w:t xml:space="preserve">  </w:t>
      </w:r>
      <w:r>
        <w:rPr>
          <w:rFonts w:hint="eastAsia"/>
          <w:color w:val="auto"/>
        </w:rPr>
        <w:t>评审办法</w:t>
      </w:r>
      <w:bookmarkEnd w:id="52"/>
    </w:p>
    <w:p w14:paraId="234A9BD4">
      <w:pPr>
        <w:pStyle w:val="3"/>
        <w:rPr>
          <w:rFonts w:ascii="宋体" w:cs="Times New Roman"/>
          <w:color w:val="auto"/>
          <w:highlight w:val="none"/>
        </w:rPr>
      </w:pPr>
      <w:bookmarkStart w:id="53" w:name="_Toc23636"/>
      <w:bookmarkStart w:id="54" w:name="bookmark459"/>
      <w:bookmarkStart w:id="55" w:name="bookmark457"/>
      <w:bookmarkStart w:id="56" w:name="_Toc27926"/>
      <w:bookmarkStart w:id="57" w:name="bookmark458"/>
      <w:r>
        <w:rPr>
          <w:rFonts w:hint="eastAsia" w:ascii="宋体" w:hAnsi="宋体" w:cs="宋体"/>
          <w:color w:val="auto"/>
          <w:highlight w:val="none"/>
        </w:rPr>
        <w:t>评审办法前附表</w:t>
      </w:r>
      <w:bookmarkEnd w:id="53"/>
      <w:bookmarkEnd w:id="54"/>
      <w:bookmarkEnd w:id="55"/>
      <w:bookmarkEnd w:id="56"/>
      <w:bookmarkEnd w:id="57"/>
    </w:p>
    <w:tbl>
      <w:tblPr>
        <w:tblStyle w:val="20"/>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259"/>
        <w:gridCol w:w="1768"/>
        <w:gridCol w:w="5282"/>
      </w:tblGrid>
      <w:tr w14:paraId="0F11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9" w:type="dxa"/>
            <w:gridSpan w:val="2"/>
            <w:vAlign w:val="center"/>
          </w:tcPr>
          <w:p w14:paraId="36F3196C">
            <w:pPr>
              <w:pStyle w:val="65"/>
              <w:spacing w:line="400" w:lineRule="exact"/>
              <w:jc w:val="center"/>
              <w:rPr>
                <w:rFonts w:ascii="宋体" w:cs="Times New Roman"/>
                <w:b/>
                <w:bCs/>
                <w:color w:val="auto"/>
                <w:highlight w:val="none"/>
              </w:rPr>
            </w:pPr>
            <w:bookmarkStart w:id="58" w:name="_Toc412629426"/>
            <w:bookmarkStart w:id="59" w:name="_Toc421873495"/>
            <w:bookmarkStart w:id="60" w:name="_Toc421627224"/>
            <w:bookmarkStart w:id="61" w:name="_Toc409445869"/>
            <w:bookmarkStart w:id="62" w:name="_Toc409446359"/>
            <w:r>
              <w:rPr>
                <w:rFonts w:hint="eastAsia" w:ascii="宋体" w:hAnsi="宋体" w:cs="宋体"/>
                <w:b/>
                <w:bCs/>
                <w:color w:val="auto"/>
                <w:highlight w:val="none"/>
              </w:rPr>
              <w:t>条款号</w:t>
            </w:r>
            <w:bookmarkEnd w:id="58"/>
            <w:bookmarkEnd w:id="59"/>
            <w:bookmarkEnd w:id="60"/>
            <w:bookmarkEnd w:id="61"/>
            <w:bookmarkEnd w:id="62"/>
            <w:r>
              <w:rPr>
                <w:rFonts w:hint="eastAsia" w:ascii="宋体" w:hAnsi="宋体" w:cs="宋体"/>
                <w:b/>
                <w:bCs/>
                <w:color w:val="auto"/>
                <w:highlight w:val="none"/>
              </w:rPr>
              <w:t>及名称</w:t>
            </w:r>
          </w:p>
        </w:tc>
        <w:tc>
          <w:tcPr>
            <w:tcW w:w="1768" w:type="dxa"/>
            <w:vAlign w:val="center"/>
          </w:tcPr>
          <w:p w14:paraId="40C7484B">
            <w:pPr>
              <w:pStyle w:val="65"/>
              <w:spacing w:line="400" w:lineRule="exact"/>
              <w:jc w:val="center"/>
              <w:rPr>
                <w:rFonts w:ascii="宋体" w:cs="Times New Roman"/>
                <w:b/>
                <w:bCs/>
                <w:color w:val="auto"/>
                <w:highlight w:val="none"/>
              </w:rPr>
            </w:pPr>
            <w:bookmarkStart w:id="63" w:name="_Toc409511274"/>
            <w:bookmarkStart w:id="64" w:name="_Toc421873496"/>
            <w:bookmarkStart w:id="65" w:name="_Toc409446360"/>
            <w:bookmarkStart w:id="66" w:name="_Toc421627225"/>
            <w:bookmarkStart w:id="67" w:name="_Toc409520843"/>
            <w:bookmarkStart w:id="68" w:name="_Toc409446633"/>
            <w:bookmarkStart w:id="69" w:name="_Toc409518394"/>
            <w:bookmarkStart w:id="70" w:name="_Toc409445870"/>
            <w:bookmarkStart w:id="71" w:name="_Toc409515821"/>
            <w:bookmarkStart w:id="72" w:name="_Toc412629427"/>
            <w:r>
              <w:rPr>
                <w:rFonts w:hint="eastAsia" w:ascii="宋体" w:hAnsi="宋体" w:cs="宋体"/>
                <w:b/>
                <w:bCs/>
                <w:color w:val="auto"/>
                <w:highlight w:val="none"/>
              </w:rPr>
              <w:t>评审因素</w:t>
            </w:r>
            <w:bookmarkEnd w:id="63"/>
            <w:bookmarkEnd w:id="64"/>
            <w:bookmarkEnd w:id="65"/>
            <w:bookmarkEnd w:id="66"/>
            <w:bookmarkEnd w:id="67"/>
            <w:bookmarkEnd w:id="68"/>
            <w:bookmarkEnd w:id="69"/>
            <w:bookmarkEnd w:id="70"/>
            <w:bookmarkEnd w:id="71"/>
            <w:bookmarkEnd w:id="72"/>
          </w:p>
        </w:tc>
        <w:tc>
          <w:tcPr>
            <w:tcW w:w="5282" w:type="dxa"/>
            <w:vAlign w:val="center"/>
          </w:tcPr>
          <w:p w14:paraId="5B06D2A4">
            <w:pPr>
              <w:pStyle w:val="65"/>
              <w:spacing w:line="400" w:lineRule="exact"/>
              <w:jc w:val="center"/>
              <w:rPr>
                <w:rFonts w:ascii="宋体" w:cs="Times New Roman"/>
                <w:b/>
                <w:bCs/>
                <w:color w:val="auto"/>
                <w:highlight w:val="none"/>
              </w:rPr>
            </w:pPr>
            <w:bookmarkStart w:id="73" w:name="_Toc421627226"/>
            <w:bookmarkStart w:id="74" w:name="_Toc412629428"/>
            <w:bookmarkStart w:id="75" w:name="_Toc409511275"/>
            <w:bookmarkStart w:id="76" w:name="_Toc409446634"/>
            <w:bookmarkStart w:id="77" w:name="_Toc409445871"/>
            <w:bookmarkStart w:id="78" w:name="_Toc409446361"/>
            <w:bookmarkStart w:id="79" w:name="_Toc409515822"/>
            <w:bookmarkStart w:id="80" w:name="_Toc409520844"/>
            <w:bookmarkStart w:id="81" w:name="_Toc421873497"/>
            <w:bookmarkStart w:id="82" w:name="_Toc409518395"/>
            <w:r>
              <w:rPr>
                <w:rFonts w:hint="eastAsia" w:ascii="宋体" w:hAnsi="宋体" w:cs="宋体"/>
                <w:b/>
                <w:bCs/>
                <w:color w:val="auto"/>
                <w:highlight w:val="none"/>
              </w:rPr>
              <w:t>评审标准</w:t>
            </w:r>
            <w:bookmarkEnd w:id="73"/>
            <w:bookmarkEnd w:id="74"/>
            <w:bookmarkEnd w:id="75"/>
            <w:bookmarkEnd w:id="76"/>
            <w:bookmarkEnd w:id="77"/>
            <w:bookmarkEnd w:id="78"/>
            <w:bookmarkEnd w:id="79"/>
            <w:bookmarkEnd w:id="80"/>
            <w:bookmarkEnd w:id="81"/>
            <w:bookmarkEnd w:id="82"/>
          </w:p>
        </w:tc>
      </w:tr>
      <w:tr w14:paraId="381C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0" w:type="dxa"/>
            <w:vMerge w:val="restart"/>
            <w:vAlign w:val="center"/>
          </w:tcPr>
          <w:p w14:paraId="4513E06A">
            <w:pPr>
              <w:pStyle w:val="65"/>
              <w:spacing w:line="400" w:lineRule="exact"/>
              <w:jc w:val="center"/>
              <w:rPr>
                <w:rFonts w:ascii="宋体" w:cs="Times New Roman"/>
                <w:color w:val="auto"/>
                <w:highlight w:val="none"/>
              </w:rPr>
            </w:pPr>
            <w:r>
              <w:rPr>
                <w:rFonts w:ascii="宋体" w:hAnsi="宋体" w:cs="宋体"/>
                <w:color w:val="auto"/>
                <w:highlight w:val="none"/>
              </w:rPr>
              <w:t>1</w:t>
            </w:r>
          </w:p>
        </w:tc>
        <w:tc>
          <w:tcPr>
            <w:tcW w:w="1259" w:type="dxa"/>
            <w:vMerge w:val="restart"/>
            <w:vAlign w:val="center"/>
          </w:tcPr>
          <w:p w14:paraId="2011AA07">
            <w:pPr>
              <w:pStyle w:val="65"/>
              <w:spacing w:line="400" w:lineRule="exact"/>
              <w:jc w:val="center"/>
              <w:rPr>
                <w:rFonts w:ascii="宋体" w:cs="Times New Roman"/>
                <w:color w:val="auto"/>
                <w:highlight w:val="none"/>
              </w:rPr>
            </w:pPr>
            <w:r>
              <w:rPr>
                <w:rFonts w:hint="eastAsia" w:ascii="宋体" w:hAnsi="宋体" w:cs="宋体"/>
                <w:color w:val="auto"/>
                <w:highlight w:val="none"/>
              </w:rPr>
              <w:t>评审方法</w:t>
            </w:r>
          </w:p>
        </w:tc>
        <w:tc>
          <w:tcPr>
            <w:tcW w:w="1768" w:type="dxa"/>
            <w:vAlign w:val="center"/>
          </w:tcPr>
          <w:p w14:paraId="4E9F7B09">
            <w:pPr>
              <w:pStyle w:val="65"/>
              <w:spacing w:line="400" w:lineRule="exact"/>
              <w:jc w:val="center"/>
              <w:rPr>
                <w:rFonts w:ascii="宋体" w:cs="Times New Roman"/>
                <w:color w:val="auto"/>
                <w:highlight w:val="none"/>
              </w:rPr>
            </w:pPr>
            <w:r>
              <w:rPr>
                <w:rFonts w:hint="eastAsia" w:ascii="宋体" w:hAnsi="宋体" w:cs="宋体"/>
                <w:color w:val="auto"/>
                <w:highlight w:val="none"/>
              </w:rPr>
              <w:t>评审方法</w:t>
            </w:r>
          </w:p>
        </w:tc>
        <w:tc>
          <w:tcPr>
            <w:tcW w:w="5282" w:type="dxa"/>
            <w:vAlign w:val="center"/>
          </w:tcPr>
          <w:p w14:paraId="5D8CF3B1">
            <w:pPr>
              <w:pStyle w:val="65"/>
              <w:spacing w:line="400" w:lineRule="exact"/>
              <w:jc w:val="left"/>
              <w:rPr>
                <w:rFonts w:ascii="宋体" w:cs="Times New Roman"/>
                <w:color w:val="auto"/>
                <w:highlight w:val="none"/>
              </w:rPr>
            </w:pPr>
            <w:r>
              <w:rPr>
                <w:rFonts w:hint="eastAsia" w:ascii="宋体" w:hAnsi="Wingdings" w:cs="Times New Roman"/>
                <w:color w:val="auto"/>
                <w:highlight w:val="none"/>
              </w:rPr>
              <w:sym w:font="Wingdings" w:char="F0A8"/>
            </w:r>
            <w:r>
              <w:rPr>
                <w:rFonts w:hint="eastAsia" w:ascii="宋体" w:hAnsi="宋体" w:cs="宋体"/>
                <w:color w:val="auto"/>
                <w:highlight w:val="none"/>
              </w:rPr>
              <w:t>最低价法</w:t>
            </w:r>
          </w:p>
          <w:p w14:paraId="7EE8A241">
            <w:pPr>
              <w:pStyle w:val="65"/>
              <w:spacing w:line="400" w:lineRule="exact"/>
              <w:jc w:val="left"/>
              <w:rPr>
                <w:rFonts w:ascii="宋体" w:cs="Times New Roman"/>
                <w:color w:val="auto"/>
                <w:highlight w:val="none"/>
              </w:rPr>
            </w:pPr>
            <w:r>
              <w:rPr>
                <w:rFonts w:hint="eastAsia" w:ascii="宋体" w:hAnsi="Wingdings" w:cs="Times New Roman"/>
                <w:color w:val="auto"/>
                <w:highlight w:val="none"/>
              </w:rPr>
              <w:sym w:font="Wingdings" w:char="F0FE"/>
            </w:r>
            <w:r>
              <w:rPr>
                <w:rFonts w:hint="eastAsia" w:ascii="宋体" w:hAnsi="宋体" w:cs="宋体"/>
                <w:color w:val="auto"/>
                <w:highlight w:val="none"/>
              </w:rPr>
              <w:t>综合评分法</w:t>
            </w:r>
          </w:p>
        </w:tc>
      </w:tr>
      <w:tr w14:paraId="5E46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0" w:type="dxa"/>
            <w:vMerge w:val="restart"/>
            <w:vAlign w:val="center"/>
          </w:tcPr>
          <w:p w14:paraId="6260A965">
            <w:pPr>
              <w:pStyle w:val="65"/>
              <w:spacing w:line="400" w:lineRule="exact"/>
              <w:jc w:val="center"/>
              <w:rPr>
                <w:rFonts w:ascii="宋体" w:cs="Times New Roman"/>
                <w:color w:val="auto"/>
                <w:highlight w:val="none"/>
              </w:rPr>
            </w:pPr>
            <w:bookmarkStart w:id="83" w:name="_Toc412629429"/>
            <w:bookmarkStart w:id="84" w:name="_Toc421627227"/>
            <w:bookmarkStart w:id="85" w:name="_Toc409085727"/>
            <w:bookmarkStart w:id="86" w:name="_Toc421873498"/>
            <w:r>
              <w:rPr>
                <w:rFonts w:ascii="宋体" w:hAnsi="宋体" w:cs="宋体"/>
                <w:color w:val="auto"/>
                <w:highlight w:val="none"/>
              </w:rPr>
              <w:t>2.1.1</w:t>
            </w:r>
            <w:bookmarkEnd w:id="83"/>
            <w:bookmarkEnd w:id="84"/>
            <w:bookmarkEnd w:id="85"/>
            <w:bookmarkEnd w:id="86"/>
          </w:p>
        </w:tc>
        <w:tc>
          <w:tcPr>
            <w:tcW w:w="1259" w:type="dxa"/>
            <w:vMerge w:val="restart"/>
            <w:vAlign w:val="center"/>
          </w:tcPr>
          <w:p w14:paraId="31F21EBF">
            <w:pPr>
              <w:pStyle w:val="65"/>
              <w:spacing w:line="400" w:lineRule="exact"/>
              <w:jc w:val="center"/>
              <w:rPr>
                <w:rFonts w:ascii="宋体" w:cs="Times New Roman"/>
                <w:color w:val="auto"/>
                <w:highlight w:val="none"/>
              </w:rPr>
            </w:pPr>
            <w:bookmarkStart w:id="87" w:name="_Toc409085728"/>
            <w:bookmarkStart w:id="88" w:name="_Toc409445873"/>
            <w:bookmarkStart w:id="89" w:name="_Toc409518397"/>
            <w:bookmarkStart w:id="90" w:name="_Toc409515824"/>
            <w:bookmarkStart w:id="91" w:name="_Toc409446636"/>
            <w:bookmarkStart w:id="92" w:name="_Toc409511277"/>
            <w:bookmarkStart w:id="93" w:name="_Toc409520846"/>
            <w:bookmarkStart w:id="94" w:name="_Toc421873499"/>
            <w:bookmarkStart w:id="95" w:name="_Toc412629430"/>
            <w:bookmarkStart w:id="96" w:name="_Toc421627228"/>
            <w:bookmarkStart w:id="97" w:name="_Toc409446363"/>
            <w:r>
              <w:rPr>
                <w:rFonts w:hint="eastAsia" w:ascii="宋体" w:hAnsi="宋体" w:cs="宋体"/>
                <w:color w:val="auto"/>
                <w:highlight w:val="none"/>
              </w:rPr>
              <w:t>资格性</w:t>
            </w:r>
            <w:bookmarkEnd w:id="87"/>
            <w:bookmarkEnd w:id="88"/>
            <w:bookmarkEnd w:id="89"/>
            <w:bookmarkEnd w:id="90"/>
            <w:bookmarkEnd w:id="91"/>
            <w:bookmarkEnd w:id="92"/>
            <w:bookmarkEnd w:id="93"/>
            <w:bookmarkEnd w:id="94"/>
            <w:bookmarkEnd w:id="95"/>
            <w:bookmarkEnd w:id="96"/>
            <w:bookmarkEnd w:id="97"/>
          </w:p>
          <w:p w14:paraId="3D72D768">
            <w:pPr>
              <w:pStyle w:val="65"/>
              <w:spacing w:line="400" w:lineRule="exact"/>
              <w:jc w:val="center"/>
              <w:rPr>
                <w:rFonts w:ascii="宋体" w:cs="Times New Roman"/>
                <w:color w:val="auto"/>
                <w:highlight w:val="none"/>
              </w:rPr>
            </w:pPr>
            <w:r>
              <w:rPr>
                <w:rFonts w:hint="eastAsia" w:ascii="宋体" w:hAnsi="宋体" w:cs="宋体"/>
                <w:color w:val="auto"/>
                <w:highlight w:val="none"/>
              </w:rPr>
              <w:t>评审</w:t>
            </w:r>
          </w:p>
        </w:tc>
        <w:tc>
          <w:tcPr>
            <w:tcW w:w="1768" w:type="dxa"/>
            <w:vAlign w:val="center"/>
          </w:tcPr>
          <w:p w14:paraId="0549748F">
            <w:pPr>
              <w:pStyle w:val="65"/>
              <w:spacing w:line="400" w:lineRule="exact"/>
              <w:jc w:val="center"/>
              <w:rPr>
                <w:rFonts w:ascii="宋体" w:cs="Times New Roman"/>
                <w:color w:val="auto"/>
                <w:highlight w:val="none"/>
              </w:rPr>
            </w:pPr>
            <w:r>
              <w:rPr>
                <w:rFonts w:hint="eastAsia" w:ascii="宋体" w:hAnsi="宋体" w:cs="宋体"/>
                <w:color w:val="auto"/>
                <w:highlight w:val="none"/>
              </w:rPr>
              <w:t>法人资格</w:t>
            </w:r>
          </w:p>
        </w:tc>
        <w:tc>
          <w:tcPr>
            <w:tcW w:w="5282" w:type="dxa"/>
            <w:vAlign w:val="center"/>
          </w:tcPr>
          <w:p w14:paraId="211A5853">
            <w:pPr>
              <w:pStyle w:val="65"/>
              <w:spacing w:line="400" w:lineRule="exact"/>
              <w:jc w:val="left"/>
              <w:rPr>
                <w:rFonts w:hint="default" w:ascii="宋体" w:cs="Times New Roman"/>
                <w:color w:val="auto"/>
                <w:highlight w:val="none"/>
                <w:lang w:val="en-US"/>
              </w:rPr>
            </w:pPr>
            <w:r>
              <w:rPr>
                <w:rFonts w:hint="eastAsia" w:ascii="宋体" w:cs="Times New Roman"/>
                <w:color w:val="auto"/>
                <w:highlight w:val="none"/>
                <w:lang w:val="zh-CN"/>
              </w:rPr>
              <w:t>在中华人民共和国注册、具有独立法人资格并保持良好履约记录、有能力响应采购文件要求（提供合法有效的“三证合一”的工商营业执照）</w:t>
            </w:r>
            <w:r>
              <w:rPr>
                <w:rFonts w:hint="eastAsia" w:ascii="宋体" w:cs="Times New Roman"/>
                <w:color w:val="auto"/>
                <w:highlight w:val="none"/>
                <w:lang w:val="zh-CN" w:eastAsia="zh-CN"/>
              </w:rPr>
              <w:t>。</w:t>
            </w:r>
          </w:p>
        </w:tc>
      </w:tr>
      <w:tr w14:paraId="7B6D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0" w:type="dxa"/>
            <w:vMerge w:val="continue"/>
            <w:vAlign w:val="center"/>
          </w:tcPr>
          <w:p w14:paraId="67D63D04">
            <w:pPr>
              <w:pStyle w:val="65"/>
              <w:spacing w:line="400" w:lineRule="exact"/>
              <w:jc w:val="center"/>
              <w:rPr>
                <w:rFonts w:ascii="宋体" w:cs="Times New Roman"/>
                <w:color w:val="auto"/>
                <w:highlight w:val="none"/>
              </w:rPr>
            </w:pPr>
          </w:p>
        </w:tc>
        <w:tc>
          <w:tcPr>
            <w:tcW w:w="1259" w:type="dxa"/>
            <w:vMerge w:val="continue"/>
            <w:vAlign w:val="center"/>
          </w:tcPr>
          <w:p w14:paraId="31AD1ACC">
            <w:pPr>
              <w:pStyle w:val="65"/>
              <w:spacing w:line="400" w:lineRule="exact"/>
              <w:jc w:val="center"/>
              <w:rPr>
                <w:rFonts w:ascii="宋体" w:cs="Times New Roman"/>
                <w:color w:val="auto"/>
                <w:highlight w:val="none"/>
              </w:rPr>
            </w:pPr>
          </w:p>
        </w:tc>
        <w:tc>
          <w:tcPr>
            <w:tcW w:w="1768" w:type="dxa"/>
            <w:vAlign w:val="center"/>
          </w:tcPr>
          <w:p w14:paraId="404ED096">
            <w:pPr>
              <w:pStyle w:val="65"/>
              <w:spacing w:line="400" w:lineRule="exact"/>
              <w:jc w:val="center"/>
              <w:rPr>
                <w:rFonts w:ascii="宋体" w:cs="Times New Roman"/>
                <w:color w:val="auto"/>
                <w:highlight w:val="none"/>
              </w:rPr>
            </w:pPr>
            <w:r>
              <w:rPr>
                <w:rFonts w:hint="eastAsia" w:ascii="宋体" w:hAnsi="宋体" w:cs="宋体"/>
                <w:color w:val="auto"/>
                <w:highlight w:val="none"/>
              </w:rPr>
              <w:t>信誉要求</w:t>
            </w:r>
          </w:p>
        </w:tc>
        <w:tc>
          <w:tcPr>
            <w:tcW w:w="5282" w:type="dxa"/>
            <w:vAlign w:val="center"/>
          </w:tcPr>
          <w:p w14:paraId="5BC191EA">
            <w:pPr>
              <w:pStyle w:val="65"/>
              <w:spacing w:line="400" w:lineRule="exact"/>
              <w:jc w:val="left"/>
              <w:rPr>
                <w:rFonts w:hint="eastAsia" w:ascii="宋体" w:eastAsia="宋体" w:cs="Times New Roman"/>
                <w:color w:val="auto"/>
                <w:highlight w:val="none"/>
                <w:lang w:eastAsia="zh-CN"/>
              </w:rPr>
            </w:pPr>
            <w:r>
              <w:rPr>
                <w:rFonts w:hint="eastAsia" w:ascii="宋体" w:hAnsi="宋体" w:eastAsia="宋体" w:cs="宋体"/>
                <w:color w:val="auto"/>
                <w:kern w:val="0"/>
                <w:sz w:val="24"/>
                <w:szCs w:val="24"/>
                <w:highlight w:val="none"/>
                <w:u w:val="none"/>
              </w:rPr>
              <w:t>经信用中国（www.creditchina.gov.cn）等渠道查询后，列入失信被执行人、重大税收违法案件当事人名单，取消投标资格。（提供“信用中国</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rPr>
              <w:t>网站的查询截图</w:t>
            </w:r>
            <w:r>
              <w:rPr>
                <w:rFonts w:hint="eastAsia" w:ascii="宋体" w:hAnsi="宋体" w:eastAsia="宋体" w:cs="宋体"/>
                <w:color w:val="auto"/>
                <w:kern w:val="0"/>
                <w:sz w:val="24"/>
                <w:szCs w:val="24"/>
                <w:highlight w:val="none"/>
                <w:u w:val="none"/>
                <w:lang w:val="en-US" w:eastAsia="zh-CN"/>
              </w:rPr>
              <w:t>时间 为投标截止时间前 10 天内）</w:t>
            </w:r>
          </w:p>
        </w:tc>
      </w:tr>
      <w:tr w14:paraId="518A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0" w:type="dxa"/>
            <w:vMerge w:val="continue"/>
            <w:vAlign w:val="center"/>
          </w:tcPr>
          <w:p w14:paraId="5D651D55">
            <w:pPr>
              <w:pStyle w:val="65"/>
              <w:spacing w:line="400" w:lineRule="exact"/>
              <w:jc w:val="center"/>
              <w:rPr>
                <w:rFonts w:ascii="宋体" w:cs="Times New Roman"/>
                <w:color w:val="auto"/>
                <w:highlight w:val="none"/>
              </w:rPr>
            </w:pPr>
          </w:p>
        </w:tc>
        <w:tc>
          <w:tcPr>
            <w:tcW w:w="1259" w:type="dxa"/>
            <w:vMerge w:val="continue"/>
            <w:vAlign w:val="center"/>
          </w:tcPr>
          <w:p w14:paraId="624558DE">
            <w:pPr>
              <w:pStyle w:val="65"/>
              <w:spacing w:line="400" w:lineRule="exact"/>
              <w:jc w:val="center"/>
              <w:rPr>
                <w:rFonts w:ascii="宋体" w:cs="Times New Roman"/>
                <w:color w:val="auto"/>
                <w:highlight w:val="none"/>
              </w:rPr>
            </w:pPr>
          </w:p>
        </w:tc>
        <w:tc>
          <w:tcPr>
            <w:tcW w:w="1768" w:type="dxa"/>
            <w:vAlign w:val="center"/>
          </w:tcPr>
          <w:p w14:paraId="58AB8981">
            <w:pPr>
              <w:pStyle w:val="65"/>
              <w:spacing w:line="400" w:lineRule="exact"/>
              <w:jc w:val="center"/>
              <w:rPr>
                <w:rFonts w:ascii="宋体" w:cs="Times New Roman"/>
                <w:color w:val="auto"/>
                <w:highlight w:val="none"/>
              </w:rPr>
            </w:pPr>
            <w:r>
              <w:rPr>
                <w:rFonts w:hint="eastAsia" w:ascii="宋体" w:hAnsi="宋体" w:cs="宋体"/>
                <w:color w:val="auto"/>
                <w:highlight w:val="none"/>
              </w:rPr>
              <w:t>财务状况</w:t>
            </w:r>
          </w:p>
        </w:tc>
        <w:tc>
          <w:tcPr>
            <w:tcW w:w="5282" w:type="dxa"/>
            <w:vAlign w:val="center"/>
          </w:tcPr>
          <w:p w14:paraId="12CE60DC">
            <w:pPr>
              <w:pStyle w:val="18"/>
              <w:widowControl/>
              <w:spacing w:beforeAutospacing="0" w:afterAutospacing="0" w:line="440" w:lineRule="exact"/>
              <w:rPr>
                <w:rFonts w:ascii="宋体" w:cs="Times New Roman"/>
                <w:color w:val="auto"/>
                <w:highlight w:val="none"/>
              </w:rPr>
            </w:pPr>
            <w:r>
              <w:rPr>
                <w:rFonts w:hint="eastAsia" w:ascii="宋体" w:cs="Times New Roman"/>
                <w:color w:val="auto"/>
                <w:highlight w:val="none"/>
              </w:rPr>
              <w:t>提供基本开户银行近三个月内出具的资信证明（同时提供基本存款账户开户许可证/基本账户信息）或2023年度经第三方审计的财务状况报告，包括资产负债表、现金流量表、利润表和财务（会计）报表附注。</w:t>
            </w:r>
          </w:p>
        </w:tc>
      </w:tr>
      <w:tr w14:paraId="2801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0" w:type="dxa"/>
            <w:vMerge w:val="continue"/>
            <w:vAlign w:val="center"/>
          </w:tcPr>
          <w:p w14:paraId="165629E7">
            <w:pPr>
              <w:pStyle w:val="65"/>
              <w:spacing w:line="400" w:lineRule="exact"/>
              <w:jc w:val="center"/>
              <w:rPr>
                <w:rFonts w:ascii="宋体" w:cs="Times New Roman"/>
                <w:color w:val="auto"/>
                <w:highlight w:val="none"/>
              </w:rPr>
            </w:pPr>
          </w:p>
        </w:tc>
        <w:tc>
          <w:tcPr>
            <w:tcW w:w="1259" w:type="dxa"/>
            <w:vMerge w:val="continue"/>
            <w:vAlign w:val="center"/>
          </w:tcPr>
          <w:p w14:paraId="649801D9">
            <w:pPr>
              <w:pStyle w:val="65"/>
              <w:spacing w:line="400" w:lineRule="exact"/>
              <w:jc w:val="center"/>
              <w:rPr>
                <w:rFonts w:ascii="宋体" w:cs="Times New Roman"/>
                <w:color w:val="auto"/>
                <w:highlight w:val="none"/>
              </w:rPr>
            </w:pPr>
          </w:p>
        </w:tc>
        <w:tc>
          <w:tcPr>
            <w:tcW w:w="1768" w:type="dxa"/>
            <w:vAlign w:val="center"/>
          </w:tcPr>
          <w:p w14:paraId="09D4FF8A">
            <w:pPr>
              <w:pStyle w:val="65"/>
              <w:spacing w:line="4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税收社保</w:t>
            </w:r>
          </w:p>
        </w:tc>
        <w:tc>
          <w:tcPr>
            <w:tcW w:w="5282" w:type="dxa"/>
            <w:vAlign w:val="center"/>
          </w:tcPr>
          <w:p w14:paraId="0B229FB7">
            <w:pPr>
              <w:pStyle w:val="18"/>
              <w:widowControl/>
              <w:spacing w:beforeAutospacing="0" w:afterAutospacing="0" w:line="440" w:lineRule="exact"/>
              <w:rPr>
                <w:rFonts w:hint="eastAsia" w:ascii="宋体" w:cs="Times New Roman"/>
                <w:color w:val="auto"/>
                <w:highlight w:val="none"/>
              </w:rPr>
            </w:pPr>
            <w:r>
              <w:rPr>
                <w:rFonts w:hint="eastAsia" w:ascii="宋体" w:cs="Times New Roman"/>
                <w:color w:val="auto"/>
                <w:highlight w:val="none"/>
                <w:lang w:val="en-US" w:eastAsia="zh-CN"/>
              </w:rPr>
              <w:t>提供近半年内任意三个月的依法缴纳税收和近半年内任意三个月的社会保障资金记录的证明材料。</w:t>
            </w:r>
          </w:p>
        </w:tc>
      </w:tr>
      <w:tr w14:paraId="6A33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0" w:type="dxa"/>
            <w:vMerge w:val="continue"/>
            <w:vAlign w:val="center"/>
          </w:tcPr>
          <w:p w14:paraId="7F5895D0">
            <w:pPr>
              <w:pStyle w:val="65"/>
              <w:spacing w:line="400" w:lineRule="exact"/>
              <w:rPr>
                <w:rFonts w:ascii="宋体" w:cs="Times New Roman"/>
                <w:color w:val="auto"/>
                <w:highlight w:val="none"/>
              </w:rPr>
            </w:pPr>
          </w:p>
        </w:tc>
        <w:tc>
          <w:tcPr>
            <w:tcW w:w="1259" w:type="dxa"/>
            <w:vMerge w:val="continue"/>
            <w:vAlign w:val="center"/>
          </w:tcPr>
          <w:p w14:paraId="50FEE303">
            <w:pPr>
              <w:pStyle w:val="65"/>
              <w:spacing w:line="400" w:lineRule="exact"/>
              <w:rPr>
                <w:rFonts w:ascii="宋体" w:cs="Times New Roman"/>
                <w:color w:val="auto"/>
                <w:highlight w:val="none"/>
              </w:rPr>
            </w:pPr>
          </w:p>
        </w:tc>
        <w:tc>
          <w:tcPr>
            <w:tcW w:w="1768" w:type="dxa"/>
            <w:vAlign w:val="center"/>
          </w:tcPr>
          <w:p w14:paraId="64C4DCDD">
            <w:pPr>
              <w:pStyle w:val="65"/>
              <w:spacing w:line="400" w:lineRule="exact"/>
              <w:jc w:val="center"/>
              <w:rPr>
                <w:rFonts w:ascii="宋体" w:cs="Times New Roman"/>
                <w:color w:val="auto"/>
                <w:highlight w:val="none"/>
              </w:rPr>
            </w:pPr>
            <w:r>
              <w:rPr>
                <w:rFonts w:hint="eastAsia" w:ascii="宋体" w:hAnsi="宋体" w:cs="宋体"/>
                <w:color w:val="auto"/>
                <w:highlight w:val="none"/>
              </w:rPr>
              <w:t>其他资格条件</w:t>
            </w:r>
          </w:p>
        </w:tc>
        <w:tc>
          <w:tcPr>
            <w:tcW w:w="5282" w:type="dxa"/>
            <w:vAlign w:val="center"/>
          </w:tcPr>
          <w:p w14:paraId="68153773">
            <w:pPr>
              <w:pStyle w:val="65"/>
              <w:spacing w:line="400" w:lineRule="exact"/>
              <w:jc w:val="left"/>
              <w:rPr>
                <w:rFonts w:hint="eastAsia" w:ascii="宋体" w:eastAsia="宋体" w:cs="Times New Roman"/>
                <w:color w:val="auto"/>
                <w:highlight w:val="none"/>
                <w:lang w:eastAsia="zh-CN"/>
              </w:rPr>
            </w:pPr>
            <w:r>
              <w:rPr>
                <w:rFonts w:hint="eastAsia" w:ascii="宋体" w:hAnsi="宋体" w:cs="宋体"/>
                <w:color w:val="auto"/>
                <w:highlight w:val="none"/>
              </w:rPr>
              <w:t>符合“供应商须知”</w:t>
            </w:r>
            <w:r>
              <w:rPr>
                <w:rFonts w:hint="eastAsia" w:ascii="宋体" w:hAnsi="宋体" w:cs="宋体"/>
                <w:color w:val="auto"/>
                <w:highlight w:val="none"/>
                <w:lang w:eastAsia="zh-CN"/>
              </w:rPr>
              <w:t>其他要求</w:t>
            </w:r>
          </w:p>
        </w:tc>
      </w:tr>
      <w:tr w14:paraId="512B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20" w:type="dxa"/>
            <w:vMerge w:val="restart"/>
            <w:vAlign w:val="center"/>
          </w:tcPr>
          <w:p w14:paraId="7D6DEC61">
            <w:pPr>
              <w:pStyle w:val="65"/>
              <w:spacing w:line="400" w:lineRule="exact"/>
              <w:jc w:val="center"/>
              <w:rPr>
                <w:rFonts w:ascii="宋体" w:cs="Times New Roman"/>
                <w:color w:val="auto"/>
                <w:highlight w:val="none"/>
              </w:rPr>
            </w:pPr>
            <w:bookmarkStart w:id="98" w:name="_Toc421873508"/>
            <w:bookmarkStart w:id="99" w:name="_Toc421627237"/>
            <w:bookmarkStart w:id="100" w:name="_Toc409085751"/>
            <w:bookmarkStart w:id="101" w:name="_Toc412629443"/>
            <w:r>
              <w:rPr>
                <w:rFonts w:ascii="宋体" w:hAnsi="宋体" w:cs="宋体"/>
                <w:color w:val="auto"/>
                <w:highlight w:val="none"/>
              </w:rPr>
              <w:t>2.1.2</w:t>
            </w:r>
            <w:bookmarkEnd w:id="98"/>
            <w:bookmarkEnd w:id="99"/>
            <w:bookmarkEnd w:id="100"/>
            <w:bookmarkEnd w:id="101"/>
          </w:p>
        </w:tc>
        <w:tc>
          <w:tcPr>
            <w:tcW w:w="1259" w:type="dxa"/>
            <w:vMerge w:val="restart"/>
            <w:vAlign w:val="center"/>
          </w:tcPr>
          <w:p w14:paraId="1ECE85A6">
            <w:pPr>
              <w:pStyle w:val="65"/>
              <w:spacing w:line="400" w:lineRule="exact"/>
              <w:jc w:val="center"/>
              <w:rPr>
                <w:rFonts w:ascii="宋体" w:cs="Times New Roman"/>
                <w:color w:val="auto"/>
                <w:highlight w:val="none"/>
              </w:rPr>
            </w:pPr>
            <w:bookmarkStart w:id="102" w:name="_Toc409518411"/>
            <w:bookmarkStart w:id="103" w:name="_Toc409446650"/>
            <w:bookmarkStart w:id="104" w:name="_Toc421873509"/>
            <w:bookmarkStart w:id="105" w:name="_Toc409085752"/>
            <w:bookmarkStart w:id="106" w:name="_Toc421627238"/>
            <w:bookmarkStart w:id="107" w:name="_Toc412629444"/>
            <w:bookmarkStart w:id="108" w:name="_Toc409446377"/>
            <w:bookmarkStart w:id="109" w:name="_Toc409511291"/>
            <w:bookmarkStart w:id="110" w:name="_Toc409515838"/>
            <w:bookmarkStart w:id="111" w:name="_Toc409520860"/>
            <w:bookmarkStart w:id="112" w:name="_Toc409445887"/>
            <w:r>
              <w:rPr>
                <w:rFonts w:hint="eastAsia" w:ascii="宋体" w:hAnsi="宋体" w:cs="宋体"/>
                <w:color w:val="auto"/>
                <w:highlight w:val="none"/>
              </w:rPr>
              <w:t>符合性</w:t>
            </w:r>
            <w:bookmarkEnd w:id="102"/>
            <w:bookmarkEnd w:id="103"/>
            <w:bookmarkEnd w:id="104"/>
            <w:bookmarkEnd w:id="105"/>
            <w:bookmarkEnd w:id="106"/>
            <w:bookmarkEnd w:id="107"/>
            <w:bookmarkEnd w:id="108"/>
            <w:bookmarkEnd w:id="109"/>
            <w:bookmarkEnd w:id="110"/>
            <w:bookmarkEnd w:id="111"/>
            <w:bookmarkEnd w:id="112"/>
          </w:p>
          <w:p w14:paraId="5CA0FD9C">
            <w:pPr>
              <w:pStyle w:val="65"/>
              <w:spacing w:line="400" w:lineRule="exact"/>
              <w:jc w:val="center"/>
              <w:rPr>
                <w:rFonts w:ascii="宋体" w:cs="Times New Roman"/>
                <w:color w:val="auto"/>
                <w:highlight w:val="none"/>
              </w:rPr>
            </w:pPr>
            <w:r>
              <w:rPr>
                <w:rFonts w:hint="eastAsia" w:ascii="宋体" w:hAnsi="宋体" w:cs="宋体"/>
                <w:color w:val="auto"/>
                <w:highlight w:val="none"/>
              </w:rPr>
              <w:t>评审</w:t>
            </w:r>
          </w:p>
        </w:tc>
        <w:tc>
          <w:tcPr>
            <w:tcW w:w="1768" w:type="dxa"/>
            <w:vAlign w:val="center"/>
          </w:tcPr>
          <w:p w14:paraId="6C9FC33D">
            <w:pPr>
              <w:pStyle w:val="65"/>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服务期</w:t>
            </w:r>
          </w:p>
        </w:tc>
        <w:tc>
          <w:tcPr>
            <w:tcW w:w="5282" w:type="dxa"/>
            <w:vAlign w:val="center"/>
          </w:tcPr>
          <w:p w14:paraId="12C3D112">
            <w:pPr>
              <w:pStyle w:val="65"/>
              <w:spacing w:line="40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3年，合同一年一签</w:t>
            </w:r>
          </w:p>
        </w:tc>
      </w:tr>
      <w:tr w14:paraId="6F3A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0" w:type="dxa"/>
            <w:vMerge w:val="continue"/>
            <w:vAlign w:val="center"/>
          </w:tcPr>
          <w:p w14:paraId="782C07FA">
            <w:pPr>
              <w:pStyle w:val="65"/>
              <w:spacing w:line="400" w:lineRule="exact"/>
              <w:jc w:val="center"/>
              <w:rPr>
                <w:rFonts w:ascii="宋体" w:cs="Times New Roman"/>
                <w:color w:val="auto"/>
                <w:highlight w:val="none"/>
              </w:rPr>
            </w:pPr>
          </w:p>
        </w:tc>
        <w:tc>
          <w:tcPr>
            <w:tcW w:w="1259" w:type="dxa"/>
            <w:vMerge w:val="continue"/>
            <w:vAlign w:val="center"/>
          </w:tcPr>
          <w:p w14:paraId="252B886A">
            <w:pPr>
              <w:pStyle w:val="65"/>
              <w:spacing w:line="400" w:lineRule="exact"/>
              <w:jc w:val="center"/>
              <w:rPr>
                <w:rFonts w:ascii="宋体" w:cs="Times New Roman"/>
                <w:color w:val="auto"/>
                <w:highlight w:val="none"/>
              </w:rPr>
            </w:pPr>
          </w:p>
        </w:tc>
        <w:tc>
          <w:tcPr>
            <w:tcW w:w="1768" w:type="dxa"/>
            <w:vAlign w:val="center"/>
          </w:tcPr>
          <w:p w14:paraId="77A91F8C">
            <w:pPr>
              <w:pStyle w:val="65"/>
              <w:spacing w:line="400" w:lineRule="exact"/>
              <w:jc w:val="center"/>
              <w:rPr>
                <w:rFonts w:ascii="宋体" w:cs="Times New Roman"/>
                <w:color w:val="auto"/>
                <w:highlight w:val="none"/>
              </w:rPr>
            </w:pPr>
            <w:bookmarkStart w:id="113" w:name="_Toc421873514"/>
            <w:r>
              <w:rPr>
                <w:rFonts w:hint="eastAsia" w:ascii="宋体" w:hAnsi="宋体" w:cs="宋体"/>
                <w:color w:val="auto"/>
                <w:highlight w:val="none"/>
              </w:rPr>
              <w:t>采购内容</w:t>
            </w:r>
            <w:bookmarkEnd w:id="113"/>
          </w:p>
        </w:tc>
        <w:tc>
          <w:tcPr>
            <w:tcW w:w="5282" w:type="dxa"/>
            <w:vAlign w:val="center"/>
          </w:tcPr>
          <w:p w14:paraId="48527CF0">
            <w:pPr>
              <w:pStyle w:val="65"/>
              <w:spacing w:line="400" w:lineRule="exact"/>
              <w:rPr>
                <w:rFonts w:ascii="宋体" w:cs="Times New Roman"/>
                <w:color w:val="auto"/>
                <w:highlight w:val="none"/>
              </w:rPr>
            </w:pPr>
            <w:r>
              <w:rPr>
                <w:rFonts w:hint="eastAsia" w:ascii="宋体" w:hAnsi="宋体" w:cs="宋体"/>
                <w:color w:val="auto"/>
                <w:highlight w:val="none"/>
              </w:rPr>
              <w:t>具体要求详见第五章《采购需求》</w:t>
            </w:r>
          </w:p>
        </w:tc>
      </w:tr>
      <w:tr w14:paraId="6283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0" w:type="dxa"/>
            <w:vMerge w:val="continue"/>
            <w:vAlign w:val="center"/>
          </w:tcPr>
          <w:p w14:paraId="47AF637F">
            <w:pPr>
              <w:pStyle w:val="65"/>
              <w:spacing w:line="400" w:lineRule="exact"/>
              <w:rPr>
                <w:rFonts w:ascii="宋体" w:cs="Times New Roman"/>
                <w:color w:val="auto"/>
                <w:highlight w:val="none"/>
              </w:rPr>
            </w:pPr>
          </w:p>
        </w:tc>
        <w:tc>
          <w:tcPr>
            <w:tcW w:w="1259" w:type="dxa"/>
            <w:vMerge w:val="continue"/>
            <w:vAlign w:val="center"/>
          </w:tcPr>
          <w:p w14:paraId="11D3E987">
            <w:pPr>
              <w:pStyle w:val="65"/>
              <w:spacing w:line="400" w:lineRule="exact"/>
              <w:rPr>
                <w:rFonts w:ascii="宋体" w:cs="Times New Roman"/>
                <w:color w:val="auto"/>
                <w:highlight w:val="none"/>
              </w:rPr>
            </w:pPr>
          </w:p>
        </w:tc>
        <w:tc>
          <w:tcPr>
            <w:tcW w:w="1768" w:type="dxa"/>
            <w:vAlign w:val="center"/>
          </w:tcPr>
          <w:p w14:paraId="22DA6EB1">
            <w:pPr>
              <w:pStyle w:val="65"/>
              <w:spacing w:line="400" w:lineRule="exact"/>
              <w:jc w:val="center"/>
              <w:rPr>
                <w:rFonts w:hint="eastAsia" w:ascii="宋体" w:eastAsia="宋体" w:cs="Times New Roman"/>
                <w:color w:val="auto"/>
                <w:highlight w:val="none"/>
                <w:lang w:eastAsia="zh-CN"/>
              </w:rPr>
            </w:pPr>
            <w:bookmarkStart w:id="114" w:name="_Toc421873516"/>
            <w:r>
              <w:rPr>
                <w:rFonts w:hint="eastAsia" w:ascii="宋体" w:hAnsi="宋体" w:cs="宋体"/>
                <w:color w:val="auto"/>
                <w:highlight w:val="none"/>
              </w:rPr>
              <w:t>联合体</w:t>
            </w:r>
            <w:bookmarkEnd w:id="114"/>
            <w:r>
              <w:rPr>
                <w:rFonts w:hint="eastAsia" w:ascii="宋体" w:hAnsi="宋体" w:cs="宋体"/>
                <w:color w:val="auto"/>
                <w:highlight w:val="none"/>
                <w:lang w:eastAsia="zh-CN"/>
              </w:rPr>
              <w:t>投标</w:t>
            </w:r>
          </w:p>
        </w:tc>
        <w:tc>
          <w:tcPr>
            <w:tcW w:w="5282" w:type="dxa"/>
            <w:vAlign w:val="center"/>
          </w:tcPr>
          <w:p w14:paraId="2A5BBBF3">
            <w:pPr>
              <w:pStyle w:val="65"/>
              <w:spacing w:line="400" w:lineRule="exact"/>
              <w:rPr>
                <w:rFonts w:ascii="宋体" w:cs="Times New Roman"/>
                <w:color w:val="auto"/>
                <w:highlight w:val="none"/>
              </w:rPr>
            </w:pPr>
            <w:bookmarkStart w:id="115" w:name="_Toc421873517"/>
            <w:r>
              <w:rPr>
                <w:rFonts w:hint="eastAsia" w:ascii="宋体" w:hAnsi="宋体" w:cs="宋体"/>
                <w:color w:val="auto"/>
                <w:highlight w:val="none"/>
              </w:rPr>
              <w:t>不接</w:t>
            </w:r>
            <w:bookmarkEnd w:id="115"/>
            <w:r>
              <w:rPr>
                <w:rFonts w:hint="eastAsia" w:ascii="宋体" w:hAnsi="宋体" w:cs="宋体"/>
                <w:color w:val="auto"/>
                <w:highlight w:val="none"/>
              </w:rPr>
              <w:t>受</w:t>
            </w:r>
          </w:p>
        </w:tc>
      </w:tr>
      <w:tr w14:paraId="6B29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720" w:type="dxa"/>
            <w:vMerge w:val="continue"/>
            <w:vAlign w:val="center"/>
          </w:tcPr>
          <w:p w14:paraId="1F12B7D3">
            <w:pPr>
              <w:pStyle w:val="65"/>
              <w:spacing w:line="400" w:lineRule="exact"/>
              <w:rPr>
                <w:rFonts w:ascii="宋体" w:cs="Times New Roman"/>
                <w:color w:val="auto"/>
                <w:highlight w:val="none"/>
              </w:rPr>
            </w:pPr>
          </w:p>
        </w:tc>
        <w:tc>
          <w:tcPr>
            <w:tcW w:w="1259" w:type="dxa"/>
            <w:vMerge w:val="continue"/>
            <w:vAlign w:val="center"/>
          </w:tcPr>
          <w:p w14:paraId="4FC693C0">
            <w:pPr>
              <w:pStyle w:val="65"/>
              <w:spacing w:line="400" w:lineRule="exact"/>
              <w:rPr>
                <w:rFonts w:ascii="宋体" w:cs="Times New Roman"/>
                <w:color w:val="auto"/>
                <w:highlight w:val="none"/>
              </w:rPr>
            </w:pPr>
          </w:p>
        </w:tc>
        <w:tc>
          <w:tcPr>
            <w:tcW w:w="1768" w:type="dxa"/>
            <w:vAlign w:val="center"/>
          </w:tcPr>
          <w:p w14:paraId="331841AE">
            <w:pPr>
              <w:pStyle w:val="65"/>
              <w:spacing w:line="400" w:lineRule="exact"/>
              <w:jc w:val="center"/>
              <w:rPr>
                <w:rFonts w:ascii="宋体" w:cs="Times New Roman"/>
                <w:color w:val="auto"/>
                <w:highlight w:val="none"/>
              </w:rPr>
            </w:pPr>
            <w:r>
              <w:rPr>
                <w:rFonts w:hint="eastAsia" w:ascii="宋体" w:hAnsi="宋体" w:cs="宋体"/>
                <w:color w:val="auto"/>
                <w:highlight w:val="none"/>
              </w:rPr>
              <w:t>签字及盖章</w:t>
            </w:r>
          </w:p>
          <w:p w14:paraId="7E809884">
            <w:pPr>
              <w:pStyle w:val="65"/>
              <w:spacing w:line="400" w:lineRule="exact"/>
              <w:jc w:val="center"/>
              <w:rPr>
                <w:rFonts w:ascii="宋体" w:cs="Times New Roman"/>
                <w:color w:val="auto"/>
                <w:highlight w:val="none"/>
              </w:rPr>
            </w:pPr>
            <w:r>
              <w:rPr>
                <w:rFonts w:hint="eastAsia" w:ascii="宋体" w:hAnsi="宋体" w:cs="宋体"/>
                <w:color w:val="auto"/>
                <w:highlight w:val="none"/>
              </w:rPr>
              <w:t>要求</w:t>
            </w:r>
          </w:p>
        </w:tc>
        <w:tc>
          <w:tcPr>
            <w:tcW w:w="5282" w:type="dxa"/>
            <w:vAlign w:val="center"/>
          </w:tcPr>
          <w:p w14:paraId="7ED524F4">
            <w:pPr>
              <w:spacing w:line="400" w:lineRule="exact"/>
              <w:rPr>
                <w:rFonts w:ascii="宋体" w:cs="Times New Roman"/>
                <w:color w:val="auto"/>
                <w:highlight w:val="none"/>
              </w:rPr>
            </w:pPr>
            <w:r>
              <w:rPr>
                <w:rFonts w:hint="eastAsia" w:ascii="宋体" w:hAnsi="宋体" w:cs="宋体"/>
                <w:color w:val="auto"/>
                <w:sz w:val="24"/>
                <w:szCs w:val="24"/>
                <w:highlight w:val="none"/>
              </w:rPr>
              <w:t>响应文件按“询比采购文件格式”中的要求签字或盖章。</w:t>
            </w:r>
          </w:p>
        </w:tc>
      </w:tr>
      <w:tr w14:paraId="1E3D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0" w:type="dxa"/>
            <w:vMerge w:val="continue"/>
            <w:vAlign w:val="center"/>
          </w:tcPr>
          <w:p w14:paraId="14B25AB4">
            <w:pPr>
              <w:pStyle w:val="65"/>
              <w:spacing w:line="400" w:lineRule="exact"/>
              <w:rPr>
                <w:rFonts w:ascii="宋体" w:cs="Times New Roman"/>
                <w:color w:val="auto"/>
                <w:highlight w:val="none"/>
              </w:rPr>
            </w:pPr>
          </w:p>
        </w:tc>
        <w:tc>
          <w:tcPr>
            <w:tcW w:w="1259" w:type="dxa"/>
            <w:vMerge w:val="continue"/>
            <w:vAlign w:val="center"/>
          </w:tcPr>
          <w:p w14:paraId="7E5564A3">
            <w:pPr>
              <w:pStyle w:val="65"/>
              <w:spacing w:line="400" w:lineRule="exact"/>
              <w:rPr>
                <w:rFonts w:ascii="宋体" w:cs="Times New Roman"/>
                <w:color w:val="auto"/>
                <w:highlight w:val="none"/>
              </w:rPr>
            </w:pPr>
          </w:p>
        </w:tc>
        <w:tc>
          <w:tcPr>
            <w:tcW w:w="1768" w:type="dxa"/>
            <w:vAlign w:val="center"/>
          </w:tcPr>
          <w:p w14:paraId="1EA8BC39">
            <w:pPr>
              <w:pStyle w:val="65"/>
              <w:spacing w:line="400" w:lineRule="exact"/>
              <w:jc w:val="center"/>
              <w:rPr>
                <w:rFonts w:ascii="宋体" w:cs="Times New Roman"/>
                <w:color w:val="auto"/>
                <w:highlight w:val="none"/>
              </w:rPr>
            </w:pPr>
            <w:r>
              <w:rPr>
                <w:rFonts w:hint="eastAsia" w:ascii="宋体" w:hAnsi="宋体" w:cs="宋体"/>
                <w:color w:val="auto"/>
                <w:highlight w:val="none"/>
              </w:rPr>
              <w:t>询比有效期</w:t>
            </w:r>
          </w:p>
        </w:tc>
        <w:tc>
          <w:tcPr>
            <w:tcW w:w="5282" w:type="dxa"/>
            <w:vAlign w:val="center"/>
          </w:tcPr>
          <w:p w14:paraId="1F1E2666">
            <w:pPr>
              <w:pStyle w:val="65"/>
              <w:spacing w:line="400" w:lineRule="exact"/>
              <w:rPr>
                <w:rFonts w:ascii="宋体" w:cs="Times New Roman"/>
                <w:color w:val="auto"/>
                <w:highlight w:val="none"/>
              </w:rPr>
            </w:pPr>
            <w:bookmarkStart w:id="116" w:name="_Toc421873521"/>
            <w:r>
              <w:rPr>
                <w:rFonts w:hint="eastAsia" w:ascii="宋体" w:hAnsi="宋体" w:cs="宋体"/>
                <w:color w:val="auto"/>
                <w:highlight w:val="none"/>
              </w:rPr>
              <w:t>自</w:t>
            </w:r>
            <w:r>
              <w:rPr>
                <w:rFonts w:hint="eastAsia" w:ascii="宋体" w:hAnsi="宋体" w:cs="宋体"/>
                <w:color w:val="auto"/>
                <w:kern w:val="0"/>
                <w:highlight w:val="none"/>
              </w:rPr>
              <w:t>询比</w:t>
            </w:r>
            <w:r>
              <w:rPr>
                <w:rFonts w:hint="eastAsia" w:ascii="宋体" w:hAnsi="宋体" w:cs="宋体"/>
                <w:color w:val="auto"/>
                <w:highlight w:val="none"/>
              </w:rPr>
              <w:t>响应文件递交之日起</w:t>
            </w:r>
            <w:r>
              <w:rPr>
                <w:rFonts w:ascii="宋体" w:hAnsi="宋体" w:cs="宋体"/>
                <w:color w:val="auto"/>
                <w:highlight w:val="none"/>
              </w:rPr>
              <w:t>90</w:t>
            </w:r>
            <w:r>
              <w:rPr>
                <w:rFonts w:hint="eastAsia" w:ascii="宋体" w:hAnsi="宋体" w:cs="宋体"/>
                <w:color w:val="auto"/>
                <w:highlight w:val="none"/>
              </w:rPr>
              <w:t>个日历日</w:t>
            </w:r>
            <w:bookmarkEnd w:id="116"/>
          </w:p>
        </w:tc>
      </w:tr>
      <w:tr w14:paraId="0A3A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0" w:type="dxa"/>
            <w:vMerge w:val="continue"/>
            <w:vAlign w:val="center"/>
          </w:tcPr>
          <w:p w14:paraId="39524682">
            <w:pPr>
              <w:pStyle w:val="65"/>
              <w:spacing w:line="400" w:lineRule="exact"/>
              <w:rPr>
                <w:rFonts w:ascii="宋体" w:cs="Times New Roman"/>
                <w:color w:val="auto"/>
                <w:highlight w:val="none"/>
              </w:rPr>
            </w:pPr>
          </w:p>
        </w:tc>
        <w:tc>
          <w:tcPr>
            <w:tcW w:w="1259" w:type="dxa"/>
            <w:vMerge w:val="continue"/>
            <w:vAlign w:val="center"/>
          </w:tcPr>
          <w:p w14:paraId="37F4EEEF">
            <w:pPr>
              <w:pStyle w:val="65"/>
              <w:spacing w:line="400" w:lineRule="exact"/>
              <w:rPr>
                <w:rFonts w:ascii="宋体" w:cs="Times New Roman"/>
                <w:color w:val="auto"/>
                <w:highlight w:val="none"/>
              </w:rPr>
            </w:pPr>
          </w:p>
        </w:tc>
        <w:tc>
          <w:tcPr>
            <w:tcW w:w="1768" w:type="dxa"/>
            <w:vAlign w:val="center"/>
          </w:tcPr>
          <w:p w14:paraId="1479A250">
            <w:pPr>
              <w:pStyle w:val="65"/>
              <w:spacing w:line="400" w:lineRule="exact"/>
              <w:jc w:val="center"/>
              <w:rPr>
                <w:rFonts w:ascii="宋体" w:cs="Times New Roman"/>
                <w:color w:val="auto"/>
                <w:highlight w:val="none"/>
              </w:rPr>
            </w:pPr>
            <w:bookmarkStart w:id="117" w:name="_Toc421873522"/>
            <w:r>
              <w:rPr>
                <w:rFonts w:hint="eastAsia" w:ascii="宋体" w:hAnsi="宋体" w:cs="宋体"/>
                <w:color w:val="auto"/>
                <w:highlight w:val="none"/>
              </w:rPr>
              <w:t>备选投标方案</w:t>
            </w:r>
            <w:bookmarkEnd w:id="117"/>
          </w:p>
        </w:tc>
        <w:tc>
          <w:tcPr>
            <w:tcW w:w="5282" w:type="dxa"/>
            <w:vAlign w:val="center"/>
          </w:tcPr>
          <w:p w14:paraId="19B25438">
            <w:pPr>
              <w:pStyle w:val="65"/>
              <w:spacing w:line="400" w:lineRule="exact"/>
              <w:rPr>
                <w:rFonts w:ascii="宋体" w:cs="Times New Roman"/>
                <w:color w:val="auto"/>
                <w:highlight w:val="none"/>
              </w:rPr>
            </w:pPr>
            <w:bookmarkStart w:id="118" w:name="_Toc421873523"/>
            <w:r>
              <w:rPr>
                <w:rFonts w:hint="eastAsia" w:ascii="宋体" w:hAnsi="宋体" w:cs="宋体"/>
                <w:color w:val="auto"/>
                <w:highlight w:val="none"/>
              </w:rPr>
              <w:t>不允许</w:t>
            </w:r>
            <w:bookmarkEnd w:id="118"/>
          </w:p>
        </w:tc>
      </w:tr>
    </w:tbl>
    <w:p w14:paraId="1D428147">
      <w:pPr>
        <w:pStyle w:val="49"/>
        <w:spacing w:line="360" w:lineRule="auto"/>
        <w:rPr>
          <w:rFonts w:cs="Times New Roman"/>
          <w:b w:val="0"/>
          <w:bCs w:val="0"/>
          <w:color w:val="auto"/>
          <w:sz w:val="24"/>
          <w:szCs w:val="24"/>
          <w:highlight w:val="none"/>
        </w:rPr>
      </w:pPr>
      <w:r>
        <w:rPr>
          <w:rFonts w:hint="eastAsia"/>
          <w:b w:val="0"/>
          <w:bCs w:val="0"/>
          <w:color w:val="auto"/>
          <w:sz w:val="24"/>
          <w:szCs w:val="24"/>
          <w:highlight w:val="none"/>
        </w:rPr>
        <w:t>续表</w:t>
      </w:r>
    </w:p>
    <w:tbl>
      <w:tblPr>
        <w:tblStyle w:val="20"/>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05"/>
        <w:gridCol w:w="1250"/>
        <w:gridCol w:w="2223"/>
        <w:gridCol w:w="5652"/>
      </w:tblGrid>
      <w:tr w14:paraId="4E43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0" w:hRule="atLeast"/>
          <w:jc w:val="center"/>
        </w:trPr>
        <w:tc>
          <w:tcPr>
            <w:tcW w:w="9930" w:type="dxa"/>
            <w:gridSpan w:val="4"/>
            <w:vAlign w:val="center"/>
          </w:tcPr>
          <w:p w14:paraId="62CDCA58">
            <w:pPr>
              <w:pStyle w:val="47"/>
              <w:spacing w:line="360" w:lineRule="auto"/>
              <w:jc w:val="center"/>
              <w:rPr>
                <w:color w:val="auto"/>
                <w:sz w:val="24"/>
                <w:szCs w:val="24"/>
                <w:highlight w:val="none"/>
              </w:rPr>
            </w:pPr>
            <w:r>
              <w:rPr>
                <w:color w:val="auto"/>
                <w:sz w:val="24"/>
                <w:szCs w:val="24"/>
                <w:highlight w:val="none"/>
                <w:lang w:val="en-US" w:eastAsia="zh-CN"/>
              </w:rPr>
              <w:t xml:space="preserve">3 </w:t>
            </w:r>
            <w:r>
              <w:rPr>
                <w:rFonts w:hint="eastAsia"/>
                <w:color w:val="auto"/>
                <w:sz w:val="24"/>
                <w:szCs w:val="24"/>
                <w:highlight w:val="none"/>
                <w:lang w:val="en-US" w:eastAsia="zh-CN"/>
              </w:rPr>
              <w:t>详细评审标准和程序</w:t>
            </w:r>
            <w:r>
              <w:rPr>
                <w:color w:val="auto"/>
                <w:sz w:val="24"/>
                <w:szCs w:val="24"/>
                <w:highlight w:val="none"/>
              </w:rPr>
              <w:t>(</w:t>
            </w:r>
            <w:r>
              <w:rPr>
                <w:rFonts w:hint="eastAsia"/>
                <w:color w:val="auto"/>
                <w:sz w:val="24"/>
                <w:szCs w:val="24"/>
                <w:highlight w:val="none"/>
              </w:rPr>
              <w:t>综合评分法</w:t>
            </w:r>
            <w:r>
              <w:rPr>
                <w:color w:val="auto"/>
                <w:sz w:val="24"/>
                <w:szCs w:val="24"/>
                <w:highlight w:val="none"/>
              </w:rPr>
              <w:t>)</w:t>
            </w:r>
          </w:p>
        </w:tc>
      </w:tr>
      <w:tr w14:paraId="2F03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93" w:hRule="atLeast"/>
          <w:jc w:val="center"/>
        </w:trPr>
        <w:tc>
          <w:tcPr>
            <w:tcW w:w="2055" w:type="dxa"/>
            <w:gridSpan w:val="2"/>
            <w:vAlign w:val="center"/>
          </w:tcPr>
          <w:p w14:paraId="6C36AEF8">
            <w:pPr>
              <w:pStyle w:val="47"/>
              <w:spacing w:line="360" w:lineRule="auto"/>
              <w:jc w:val="center"/>
              <w:rPr>
                <w:color w:val="auto"/>
                <w:sz w:val="24"/>
                <w:szCs w:val="24"/>
                <w:highlight w:val="none"/>
              </w:rPr>
            </w:pPr>
            <w:r>
              <w:rPr>
                <w:color w:val="auto"/>
                <w:sz w:val="24"/>
                <w:szCs w:val="24"/>
                <w:highlight w:val="none"/>
                <w:lang w:val="en-US" w:eastAsia="zh-CN"/>
              </w:rPr>
              <w:t>3</w:t>
            </w:r>
            <w:r>
              <w:rPr>
                <w:color w:val="auto"/>
                <w:sz w:val="24"/>
                <w:szCs w:val="24"/>
                <w:highlight w:val="none"/>
                <w:lang w:val="en-US" w:eastAsia="en-US"/>
              </w:rPr>
              <w:t xml:space="preserve">. </w:t>
            </w:r>
            <w:r>
              <w:rPr>
                <w:color w:val="auto"/>
                <w:sz w:val="24"/>
                <w:szCs w:val="24"/>
                <w:highlight w:val="none"/>
              </w:rPr>
              <w:t>1</w:t>
            </w:r>
          </w:p>
        </w:tc>
        <w:tc>
          <w:tcPr>
            <w:tcW w:w="2223" w:type="dxa"/>
            <w:vAlign w:val="center"/>
          </w:tcPr>
          <w:p w14:paraId="34A7C755">
            <w:pPr>
              <w:pStyle w:val="47"/>
              <w:spacing w:line="360" w:lineRule="auto"/>
              <w:jc w:val="center"/>
              <w:rPr>
                <w:color w:val="auto"/>
                <w:sz w:val="24"/>
                <w:szCs w:val="24"/>
                <w:highlight w:val="none"/>
              </w:rPr>
            </w:pPr>
            <w:r>
              <w:rPr>
                <w:rFonts w:hint="eastAsia"/>
                <w:color w:val="auto"/>
                <w:sz w:val="24"/>
                <w:szCs w:val="24"/>
                <w:highlight w:val="none"/>
              </w:rPr>
              <w:t>分值构成</w:t>
            </w:r>
            <w:r>
              <w:rPr>
                <w:color w:val="auto"/>
                <w:sz w:val="24"/>
                <w:szCs w:val="24"/>
                <w:highlight w:val="none"/>
              </w:rPr>
              <w:t xml:space="preserve"> </w:t>
            </w:r>
          </w:p>
          <w:p w14:paraId="16E2F998">
            <w:pPr>
              <w:pStyle w:val="47"/>
              <w:spacing w:line="360" w:lineRule="auto"/>
              <w:jc w:val="center"/>
              <w:rPr>
                <w:color w:val="auto"/>
                <w:sz w:val="24"/>
                <w:szCs w:val="24"/>
                <w:highlight w:val="none"/>
              </w:rPr>
            </w:pPr>
            <w:r>
              <w:rPr>
                <w:color w:val="auto"/>
                <w:sz w:val="24"/>
                <w:szCs w:val="24"/>
                <w:highlight w:val="none"/>
              </w:rPr>
              <w:t>(</w:t>
            </w:r>
            <w:r>
              <w:rPr>
                <w:rFonts w:hint="eastAsia"/>
                <w:color w:val="auto"/>
                <w:sz w:val="24"/>
                <w:szCs w:val="24"/>
                <w:highlight w:val="none"/>
              </w:rPr>
              <w:t>总分</w:t>
            </w:r>
            <w:r>
              <w:rPr>
                <w:color w:val="auto"/>
                <w:sz w:val="24"/>
                <w:szCs w:val="24"/>
                <w:highlight w:val="none"/>
              </w:rPr>
              <w:t>100</w:t>
            </w:r>
            <w:r>
              <w:rPr>
                <w:rFonts w:hint="eastAsia"/>
                <w:color w:val="auto"/>
                <w:sz w:val="24"/>
                <w:szCs w:val="24"/>
                <w:highlight w:val="none"/>
              </w:rPr>
              <w:t>分</w:t>
            </w:r>
            <w:r>
              <w:rPr>
                <w:color w:val="auto"/>
                <w:sz w:val="24"/>
                <w:szCs w:val="24"/>
                <w:highlight w:val="none"/>
              </w:rPr>
              <w:t>)</w:t>
            </w:r>
          </w:p>
        </w:tc>
        <w:tc>
          <w:tcPr>
            <w:tcW w:w="5652" w:type="dxa"/>
            <w:vAlign w:val="center"/>
          </w:tcPr>
          <w:p w14:paraId="6DF7E9C7">
            <w:pPr>
              <w:pStyle w:val="47"/>
              <w:numPr>
                <w:ilvl w:val="0"/>
                <w:numId w:val="5"/>
              </w:numPr>
              <w:tabs>
                <w:tab w:val="left" w:pos="642"/>
                <w:tab w:val="left" w:pos="732"/>
              </w:tabs>
              <w:spacing w:line="360" w:lineRule="auto"/>
              <w:jc w:val="left"/>
              <w:rPr>
                <w:rFonts w:cs="Times New Roman"/>
                <w:color w:val="auto"/>
                <w:sz w:val="24"/>
                <w:szCs w:val="24"/>
                <w:highlight w:val="none"/>
                <w:u w:val="single"/>
              </w:rPr>
            </w:pPr>
            <w:r>
              <w:rPr>
                <w:rFonts w:hint="eastAsia"/>
                <w:color w:val="auto"/>
                <w:sz w:val="24"/>
                <w:szCs w:val="24"/>
                <w:highlight w:val="none"/>
                <w:lang w:val="en-US" w:eastAsia="zh-CN"/>
              </w:rPr>
              <w:t>商务评分</w:t>
            </w:r>
            <w:r>
              <w:rPr>
                <w:rFonts w:hint="eastAsia"/>
                <w:color w:val="auto"/>
                <w:sz w:val="24"/>
                <w:szCs w:val="24"/>
                <w:highlight w:val="none"/>
              </w:rPr>
              <w:t>：</w:t>
            </w:r>
            <w:r>
              <w:rPr>
                <w:rFonts w:hint="eastAsia"/>
                <w:color w:val="auto"/>
                <w:sz w:val="24"/>
                <w:szCs w:val="24"/>
                <w:highlight w:val="none"/>
                <w:u w:val="single"/>
                <w:lang w:val="en-US" w:eastAsia="zh-CN"/>
              </w:rPr>
              <w:t>15</w:t>
            </w:r>
            <w:r>
              <w:rPr>
                <w:rFonts w:hint="eastAsia"/>
                <w:color w:val="auto"/>
                <w:sz w:val="24"/>
                <w:szCs w:val="24"/>
                <w:highlight w:val="none"/>
                <w:u w:val="single"/>
              </w:rPr>
              <w:t>分</w:t>
            </w:r>
          </w:p>
          <w:p w14:paraId="380BA03E">
            <w:pPr>
              <w:pStyle w:val="47"/>
              <w:tabs>
                <w:tab w:val="left" w:pos="737"/>
                <w:tab w:val="right" w:leader="underscore" w:pos="2820"/>
              </w:tabs>
              <w:spacing w:line="360" w:lineRule="auto"/>
              <w:jc w:val="left"/>
              <w:rPr>
                <w:rFonts w:cs="Times New Roman"/>
                <w:color w:val="auto"/>
                <w:sz w:val="24"/>
                <w:szCs w:val="24"/>
                <w:highlight w:val="none"/>
              </w:rPr>
            </w:pPr>
            <w:r>
              <w:rPr>
                <w:color w:val="auto"/>
                <w:sz w:val="24"/>
                <w:szCs w:val="24"/>
                <w:highlight w:val="none"/>
                <w:lang w:val="en-US" w:eastAsia="zh-CN"/>
              </w:rPr>
              <w:t>2</w:t>
            </w:r>
            <w:r>
              <w:rPr>
                <w:rFonts w:hint="eastAsia"/>
                <w:color w:val="auto"/>
                <w:sz w:val="24"/>
                <w:szCs w:val="24"/>
                <w:highlight w:val="none"/>
                <w:lang w:val="en-US" w:eastAsia="zh-CN"/>
              </w:rPr>
              <w:t>、</w:t>
            </w:r>
            <w:r>
              <w:rPr>
                <w:rFonts w:hint="eastAsia"/>
                <w:color w:val="auto"/>
                <w:sz w:val="24"/>
                <w:szCs w:val="24"/>
                <w:highlight w:val="none"/>
                <w:lang w:eastAsia="zh-CN"/>
              </w:rPr>
              <w:t>技术评分</w:t>
            </w:r>
            <w:r>
              <w:rPr>
                <w:rFonts w:hint="eastAsia"/>
                <w:color w:val="auto"/>
                <w:sz w:val="24"/>
                <w:szCs w:val="24"/>
                <w:highlight w:val="none"/>
              </w:rPr>
              <w:t>：</w:t>
            </w:r>
            <w:r>
              <w:rPr>
                <w:rFonts w:hint="eastAsia"/>
                <w:color w:val="auto"/>
                <w:sz w:val="24"/>
                <w:szCs w:val="24"/>
                <w:highlight w:val="none"/>
                <w:u w:val="single"/>
                <w:lang w:val="en-US" w:eastAsia="zh-CN"/>
              </w:rPr>
              <w:t>85</w:t>
            </w:r>
            <w:r>
              <w:rPr>
                <w:rFonts w:hint="eastAsia"/>
                <w:color w:val="auto"/>
                <w:sz w:val="24"/>
                <w:szCs w:val="24"/>
                <w:highlight w:val="none"/>
                <w:u w:val="single"/>
              </w:rPr>
              <w:t>分</w:t>
            </w:r>
          </w:p>
        </w:tc>
      </w:tr>
      <w:tr w14:paraId="22A0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2055" w:type="dxa"/>
            <w:gridSpan w:val="2"/>
            <w:vAlign w:val="center"/>
          </w:tcPr>
          <w:p w14:paraId="44E811C8">
            <w:pPr>
              <w:pStyle w:val="47"/>
              <w:spacing w:line="360" w:lineRule="auto"/>
              <w:jc w:val="center"/>
              <w:rPr>
                <w:rFonts w:cs="Times New Roman"/>
                <w:b/>
                <w:bCs/>
                <w:color w:val="auto"/>
                <w:sz w:val="24"/>
                <w:szCs w:val="24"/>
                <w:highlight w:val="none"/>
              </w:rPr>
            </w:pPr>
            <w:r>
              <w:rPr>
                <w:rFonts w:hint="eastAsia"/>
                <w:b/>
                <w:bCs/>
                <w:color w:val="auto"/>
                <w:sz w:val="24"/>
                <w:szCs w:val="24"/>
                <w:highlight w:val="none"/>
              </w:rPr>
              <w:t>条款号及名称</w:t>
            </w:r>
          </w:p>
        </w:tc>
        <w:tc>
          <w:tcPr>
            <w:tcW w:w="2223" w:type="dxa"/>
            <w:vAlign w:val="center"/>
          </w:tcPr>
          <w:p w14:paraId="7840B8AC">
            <w:pPr>
              <w:pStyle w:val="47"/>
              <w:spacing w:line="360" w:lineRule="auto"/>
              <w:jc w:val="center"/>
              <w:rPr>
                <w:rFonts w:cs="Times New Roman"/>
                <w:b/>
                <w:bCs/>
                <w:color w:val="auto"/>
                <w:sz w:val="24"/>
                <w:szCs w:val="24"/>
                <w:highlight w:val="none"/>
              </w:rPr>
            </w:pPr>
            <w:r>
              <w:rPr>
                <w:rFonts w:hint="eastAsia"/>
                <w:b/>
                <w:bCs/>
                <w:color w:val="auto"/>
                <w:sz w:val="24"/>
                <w:szCs w:val="24"/>
                <w:highlight w:val="none"/>
              </w:rPr>
              <w:t>评分因素</w:t>
            </w:r>
          </w:p>
        </w:tc>
        <w:tc>
          <w:tcPr>
            <w:tcW w:w="5652" w:type="dxa"/>
            <w:vAlign w:val="center"/>
          </w:tcPr>
          <w:p w14:paraId="10FF1F12">
            <w:pPr>
              <w:pStyle w:val="47"/>
              <w:spacing w:line="360" w:lineRule="auto"/>
              <w:jc w:val="center"/>
              <w:rPr>
                <w:rFonts w:cs="Times New Roman"/>
                <w:b/>
                <w:bCs/>
                <w:color w:val="auto"/>
                <w:sz w:val="24"/>
                <w:szCs w:val="24"/>
                <w:highlight w:val="none"/>
              </w:rPr>
            </w:pPr>
            <w:r>
              <w:rPr>
                <w:rFonts w:hint="eastAsia"/>
                <w:b/>
                <w:bCs/>
                <w:color w:val="auto"/>
                <w:sz w:val="24"/>
                <w:szCs w:val="24"/>
                <w:highlight w:val="none"/>
              </w:rPr>
              <w:t>评分标准</w:t>
            </w:r>
          </w:p>
        </w:tc>
      </w:tr>
      <w:tr w14:paraId="7BEC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1" w:hRule="atLeast"/>
          <w:jc w:val="center"/>
        </w:trPr>
        <w:tc>
          <w:tcPr>
            <w:tcW w:w="805" w:type="dxa"/>
            <w:vMerge w:val="restart"/>
            <w:vAlign w:val="center"/>
          </w:tcPr>
          <w:p w14:paraId="44603B35">
            <w:pPr>
              <w:pStyle w:val="47"/>
              <w:spacing w:line="360" w:lineRule="auto"/>
              <w:rPr>
                <w:color w:val="auto"/>
                <w:sz w:val="24"/>
                <w:szCs w:val="24"/>
                <w:highlight w:val="none"/>
                <w:lang w:val="en-US" w:eastAsia="en-US"/>
              </w:rPr>
            </w:pPr>
          </w:p>
          <w:p w14:paraId="4A528C55">
            <w:pPr>
              <w:pStyle w:val="47"/>
              <w:spacing w:line="360" w:lineRule="auto"/>
              <w:rPr>
                <w:color w:val="auto"/>
                <w:sz w:val="24"/>
                <w:szCs w:val="24"/>
                <w:highlight w:val="none"/>
                <w:lang w:val="en-US" w:eastAsia="en-US"/>
              </w:rPr>
            </w:pPr>
          </w:p>
          <w:p w14:paraId="013BC1FE">
            <w:pPr>
              <w:pStyle w:val="47"/>
              <w:spacing w:line="360" w:lineRule="auto"/>
              <w:rPr>
                <w:color w:val="auto"/>
                <w:sz w:val="24"/>
                <w:szCs w:val="24"/>
                <w:highlight w:val="none"/>
                <w:lang w:val="en-US" w:eastAsia="en-US"/>
              </w:rPr>
            </w:pPr>
          </w:p>
          <w:p w14:paraId="3DD227F8">
            <w:pPr>
              <w:pStyle w:val="47"/>
              <w:spacing w:line="360" w:lineRule="auto"/>
              <w:rPr>
                <w:color w:val="auto"/>
                <w:sz w:val="24"/>
                <w:szCs w:val="24"/>
                <w:highlight w:val="none"/>
                <w:lang w:val="en-US" w:eastAsia="en-US"/>
              </w:rPr>
            </w:pPr>
          </w:p>
          <w:p w14:paraId="1F2B27EA">
            <w:pPr>
              <w:pStyle w:val="47"/>
              <w:spacing w:line="360" w:lineRule="auto"/>
              <w:rPr>
                <w:color w:val="auto"/>
                <w:sz w:val="24"/>
                <w:szCs w:val="24"/>
                <w:highlight w:val="none"/>
              </w:rPr>
            </w:pPr>
            <w:r>
              <w:rPr>
                <w:color w:val="auto"/>
                <w:sz w:val="24"/>
                <w:szCs w:val="24"/>
                <w:highlight w:val="none"/>
                <w:lang w:val="en-US" w:eastAsia="en-US"/>
              </w:rPr>
              <w:t>3.</w:t>
            </w:r>
            <w:r>
              <w:rPr>
                <w:color w:val="auto"/>
                <w:sz w:val="24"/>
                <w:szCs w:val="24"/>
                <w:highlight w:val="none"/>
                <w:lang w:val="en-US" w:eastAsia="zh-CN"/>
              </w:rPr>
              <w:t>3</w:t>
            </w:r>
            <w:r>
              <w:rPr>
                <w:color w:val="auto"/>
                <w:sz w:val="24"/>
                <w:szCs w:val="24"/>
                <w:highlight w:val="none"/>
              </w:rPr>
              <w:t>(1)</w:t>
            </w:r>
          </w:p>
          <w:p w14:paraId="6CBDD571">
            <w:pPr>
              <w:pStyle w:val="47"/>
              <w:spacing w:line="360" w:lineRule="auto"/>
              <w:rPr>
                <w:color w:val="auto"/>
                <w:sz w:val="24"/>
                <w:szCs w:val="24"/>
                <w:highlight w:val="none"/>
              </w:rPr>
            </w:pPr>
          </w:p>
          <w:p w14:paraId="006A5CE4">
            <w:pPr>
              <w:pStyle w:val="47"/>
              <w:spacing w:line="360" w:lineRule="auto"/>
              <w:rPr>
                <w:color w:val="auto"/>
                <w:sz w:val="24"/>
                <w:szCs w:val="24"/>
                <w:highlight w:val="none"/>
              </w:rPr>
            </w:pPr>
          </w:p>
          <w:p w14:paraId="75C3D25D">
            <w:pPr>
              <w:pStyle w:val="47"/>
              <w:spacing w:line="360" w:lineRule="auto"/>
              <w:rPr>
                <w:color w:val="auto"/>
                <w:sz w:val="24"/>
                <w:szCs w:val="24"/>
                <w:highlight w:val="none"/>
              </w:rPr>
            </w:pPr>
          </w:p>
          <w:p w14:paraId="2F43F394">
            <w:pPr>
              <w:pStyle w:val="47"/>
              <w:spacing w:line="360" w:lineRule="auto"/>
              <w:rPr>
                <w:color w:val="auto"/>
                <w:sz w:val="24"/>
                <w:szCs w:val="24"/>
                <w:highlight w:val="none"/>
              </w:rPr>
            </w:pPr>
          </w:p>
          <w:p w14:paraId="4013E5E4">
            <w:pPr>
              <w:pStyle w:val="47"/>
              <w:spacing w:line="360" w:lineRule="auto"/>
              <w:rPr>
                <w:color w:val="auto"/>
                <w:sz w:val="24"/>
                <w:szCs w:val="24"/>
                <w:highlight w:val="none"/>
              </w:rPr>
            </w:pPr>
          </w:p>
          <w:p w14:paraId="0E91955C">
            <w:pPr>
              <w:pStyle w:val="47"/>
              <w:spacing w:line="360" w:lineRule="auto"/>
              <w:rPr>
                <w:color w:val="auto"/>
                <w:sz w:val="24"/>
                <w:szCs w:val="24"/>
                <w:highlight w:val="none"/>
              </w:rPr>
            </w:pPr>
          </w:p>
          <w:p w14:paraId="36817D2F">
            <w:pPr>
              <w:pStyle w:val="47"/>
              <w:spacing w:line="360" w:lineRule="auto"/>
              <w:rPr>
                <w:color w:val="auto"/>
                <w:sz w:val="24"/>
                <w:szCs w:val="24"/>
                <w:highlight w:val="none"/>
              </w:rPr>
            </w:pPr>
          </w:p>
          <w:p w14:paraId="652CA0D5">
            <w:pPr>
              <w:pStyle w:val="47"/>
              <w:spacing w:line="360" w:lineRule="auto"/>
              <w:rPr>
                <w:color w:val="auto"/>
                <w:sz w:val="24"/>
                <w:szCs w:val="24"/>
                <w:highlight w:val="none"/>
              </w:rPr>
            </w:pPr>
          </w:p>
          <w:p w14:paraId="7C3305FD">
            <w:pPr>
              <w:pStyle w:val="47"/>
              <w:spacing w:line="360" w:lineRule="auto"/>
              <w:rPr>
                <w:color w:val="auto"/>
                <w:sz w:val="24"/>
                <w:szCs w:val="24"/>
                <w:highlight w:val="none"/>
              </w:rPr>
            </w:pPr>
          </w:p>
          <w:p w14:paraId="06CC1DB6">
            <w:pPr>
              <w:pStyle w:val="47"/>
              <w:spacing w:line="360" w:lineRule="auto"/>
              <w:rPr>
                <w:color w:val="auto"/>
                <w:sz w:val="24"/>
                <w:szCs w:val="24"/>
                <w:highlight w:val="none"/>
              </w:rPr>
            </w:pPr>
          </w:p>
          <w:p w14:paraId="2FE099B0">
            <w:pPr>
              <w:pStyle w:val="47"/>
              <w:spacing w:line="360" w:lineRule="auto"/>
              <w:rPr>
                <w:color w:val="auto"/>
                <w:sz w:val="24"/>
                <w:szCs w:val="24"/>
                <w:highlight w:val="none"/>
              </w:rPr>
            </w:pPr>
          </w:p>
          <w:p w14:paraId="63F6B8A8">
            <w:pPr>
              <w:pStyle w:val="47"/>
              <w:spacing w:line="360" w:lineRule="auto"/>
              <w:rPr>
                <w:color w:val="auto"/>
                <w:sz w:val="24"/>
                <w:szCs w:val="24"/>
                <w:highlight w:val="none"/>
              </w:rPr>
            </w:pPr>
          </w:p>
          <w:p w14:paraId="366E4802">
            <w:pPr>
              <w:pStyle w:val="47"/>
              <w:spacing w:line="360" w:lineRule="auto"/>
              <w:rPr>
                <w:color w:val="auto"/>
                <w:sz w:val="24"/>
                <w:szCs w:val="24"/>
                <w:highlight w:val="none"/>
              </w:rPr>
            </w:pPr>
          </w:p>
          <w:p w14:paraId="2C27854C">
            <w:pPr>
              <w:pStyle w:val="47"/>
              <w:spacing w:line="360" w:lineRule="auto"/>
              <w:rPr>
                <w:color w:val="auto"/>
                <w:sz w:val="24"/>
                <w:szCs w:val="24"/>
                <w:highlight w:val="none"/>
              </w:rPr>
            </w:pPr>
          </w:p>
          <w:p w14:paraId="59E18C77">
            <w:pPr>
              <w:pStyle w:val="47"/>
              <w:spacing w:line="360" w:lineRule="auto"/>
              <w:rPr>
                <w:color w:val="auto"/>
                <w:sz w:val="24"/>
                <w:szCs w:val="24"/>
                <w:highlight w:val="none"/>
              </w:rPr>
            </w:pPr>
          </w:p>
          <w:p w14:paraId="72665595">
            <w:pPr>
              <w:pStyle w:val="47"/>
              <w:spacing w:line="360" w:lineRule="auto"/>
              <w:rPr>
                <w:color w:val="auto"/>
                <w:sz w:val="24"/>
                <w:szCs w:val="24"/>
                <w:highlight w:val="none"/>
              </w:rPr>
            </w:pPr>
          </w:p>
          <w:p w14:paraId="4231BD32">
            <w:pPr>
              <w:pStyle w:val="47"/>
              <w:spacing w:line="360" w:lineRule="auto"/>
              <w:rPr>
                <w:color w:val="auto"/>
                <w:sz w:val="24"/>
                <w:szCs w:val="24"/>
                <w:highlight w:val="none"/>
                <w:lang w:val="en-US" w:eastAsia="en-US"/>
              </w:rPr>
            </w:pPr>
          </w:p>
          <w:p w14:paraId="5DF33545">
            <w:pPr>
              <w:pStyle w:val="47"/>
              <w:spacing w:line="360" w:lineRule="auto"/>
              <w:jc w:val="center"/>
              <w:rPr>
                <w:rFonts w:cs="Times New Roman"/>
                <w:color w:val="auto"/>
                <w:sz w:val="24"/>
                <w:szCs w:val="24"/>
                <w:highlight w:val="none"/>
              </w:rPr>
            </w:pPr>
            <w:r>
              <w:rPr>
                <w:color w:val="auto"/>
                <w:sz w:val="24"/>
                <w:szCs w:val="24"/>
                <w:highlight w:val="none"/>
                <w:lang w:val="en-US" w:eastAsia="zh-CN"/>
              </w:rPr>
              <w:t>3.3</w:t>
            </w:r>
            <w:r>
              <w:rPr>
                <w:rFonts w:hint="eastAsia"/>
                <w:color w:val="auto"/>
                <w:sz w:val="24"/>
                <w:szCs w:val="24"/>
                <w:highlight w:val="none"/>
                <w:lang w:val="en-US" w:eastAsia="zh-CN"/>
              </w:rPr>
              <w:t>（</w:t>
            </w:r>
            <w:r>
              <w:rPr>
                <w:color w:val="auto"/>
                <w:sz w:val="24"/>
                <w:szCs w:val="24"/>
                <w:highlight w:val="none"/>
                <w:lang w:val="en-US" w:eastAsia="zh-CN"/>
              </w:rPr>
              <w:t>2</w:t>
            </w:r>
            <w:r>
              <w:rPr>
                <w:rFonts w:hint="eastAsia"/>
                <w:color w:val="auto"/>
                <w:sz w:val="24"/>
                <w:szCs w:val="24"/>
                <w:highlight w:val="none"/>
                <w:lang w:val="en-US" w:eastAsia="zh-CN"/>
              </w:rPr>
              <w:t>）</w:t>
            </w:r>
          </w:p>
        </w:tc>
        <w:tc>
          <w:tcPr>
            <w:tcW w:w="1250" w:type="dxa"/>
            <w:vMerge w:val="restart"/>
            <w:vAlign w:val="center"/>
          </w:tcPr>
          <w:p w14:paraId="773AB184">
            <w:pPr>
              <w:pStyle w:val="47"/>
              <w:spacing w:line="360" w:lineRule="auto"/>
              <w:jc w:val="center"/>
              <w:rPr>
                <w:rFonts w:cs="Times New Roman"/>
                <w:color w:val="auto"/>
                <w:sz w:val="24"/>
                <w:szCs w:val="24"/>
                <w:highlight w:val="none"/>
              </w:rPr>
            </w:pPr>
            <w:r>
              <w:rPr>
                <w:rFonts w:hint="eastAsia"/>
                <w:color w:val="auto"/>
                <w:sz w:val="24"/>
                <w:szCs w:val="24"/>
                <w:highlight w:val="none"/>
                <w:lang w:val="en-US" w:eastAsia="zh-CN"/>
              </w:rPr>
              <w:t>商务评分</w:t>
            </w:r>
            <w:r>
              <w:rPr>
                <w:rFonts w:hint="eastAsia"/>
                <w:color w:val="auto"/>
                <w:sz w:val="24"/>
                <w:szCs w:val="24"/>
                <w:highlight w:val="none"/>
              </w:rPr>
              <w:t>（</w:t>
            </w:r>
            <w:r>
              <w:rPr>
                <w:rFonts w:hint="eastAsia"/>
                <w:color w:val="auto"/>
                <w:sz w:val="24"/>
                <w:szCs w:val="24"/>
                <w:highlight w:val="none"/>
                <w:lang w:val="en-US" w:eastAsia="zh-CN"/>
              </w:rPr>
              <w:t>15</w:t>
            </w:r>
            <w:r>
              <w:rPr>
                <w:rFonts w:hint="eastAsia"/>
                <w:color w:val="auto"/>
                <w:sz w:val="24"/>
                <w:szCs w:val="24"/>
                <w:highlight w:val="none"/>
              </w:rPr>
              <w:t>分</w:t>
            </w:r>
            <w:r>
              <w:rPr>
                <w:rFonts w:hint="eastAsia"/>
                <w:color w:val="auto"/>
                <w:sz w:val="24"/>
                <w:szCs w:val="24"/>
                <w:highlight w:val="none"/>
                <w:lang w:val="en-US" w:eastAsia="zh-CN"/>
              </w:rPr>
              <w:t>）</w:t>
            </w:r>
          </w:p>
        </w:tc>
        <w:tc>
          <w:tcPr>
            <w:tcW w:w="2223" w:type="dxa"/>
            <w:vAlign w:val="center"/>
          </w:tcPr>
          <w:p w14:paraId="01A5289B">
            <w:pPr>
              <w:pStyle w:val="47"/>
              <w:spacing w:line="360" w:lineRule="auto"/>
              <w:jc w:val="center"/>
              <w:rPr>
                <w:rFonts w:cs="Times New Roman"/>
                <w:color w:val="auto"/>
                <w:sz w:val="24"/>
                <w:szCs w:val="24"/>
                <w:highlight w:val="none"/>
                <w:lang w:val="en-US" w:eastAsia="zh-CN"/>
              </w:rPr>
            </w:pPr>
            <w:r>
              <w:rPr>
                <w:rFonts w:hint="eastAsia"/>
                <w:color w:val="auto"/>
                <w:sz w:val="24"/>
                <w:szCs w:val="24"/>
                <w:highlight w:val="none"/>
                <w:lang w:val="en-US" w:eastAsia="zh-CN"/>
              </w:rPr>
              <w:t>类似业绩（</w:t>
            </w:r>
            <w:r>
              <w:rPr>
                <w:color w:val="auto"/>
                <w:sz w:val="24"/>
                <w:szCs w:val="24"/>
                <w:highlight w:val="none"/>
                <w:lang w:val="en-US" w:eastAsia="zh-CN"/>
              </w:rPr>
              <w:t>10</w:t>
            </w:r>
            <w:r>
              <w:rPr>
                <w:rFonts w:hint="eastAsia"/>
                <w:color w:val="auto"/>
                <w:sz w:val="24"/>
                <w:szCs w:val="24"/>
                <w:highlight w:val="none"/>
                <w:lang w:val="en-US" w:eastAsia="zh-CN"/>
              </w:rPr>
              <w:t>分）</w:t>
            </w:r>
          </w:p>
        </w:tc>
        <w:tc>
          <w:tcPr>
            <w:tcW w:w="5652" w:type="dxa"/>
            <w:vAlign w:val="center"/>
          </w:tcPr>
          <w:p w14:paraId="3C5E9FAB">
            <w:pPr>
              <w:pStyle w:val="47"/>
              <w:spacing w:line="360" w:lineRule="auto"/>
              <w:rPr>
                <w:rFonts w:hint="eastAsia" w:eastAsia="宋体" w:cs="Times New Roman"/>
                <w:color w:val="auto"/>
                <w:sz w:val="24"/>
                <w:szCs w:val="24"/>
                <w:highlight w:val="none"/>
                <w:lang w:val="zh-CN" w:eastAsia="zh-CN"/>
              </w:rPr>
            </w:pPr>
            <w:r>
              <w:rPr>
                <w:rFonts w:hint="eastAsia"/>
                <w:color w:val="auto"/>
                <w:sz w:val="24"/>
                <w:szCs w:val="24"/>
                <w:highlight w:val="none"/>
                <w:lang w:val="en-US" w:eastAsia="zh-CN"/>
              </w:rPr>
              <w:t>提供近3年（2022年1月1日至2025年1月20日）类似业绩，每提供一项类似业绩的得</w:t>
            </w:r>
            <w:r>
              <w:rPr>
                <w:color w:val="auto"/>
                <w:sz w:val="24"/>
                <w:szCs w:val="24"/>
                <w:highlight w:val="none"/>
                <w:lang w:val="en-US" w:eastAsia="zh-CN"/>
              </w:rPr>
              <w:t>2</w:t>
            </w:r>
            <w:r>
              <w:rPr>
                <w:rFonts w:hint="eastAsia"/>
                <w:color w:val="auto"/>
                <w:sz w:val="24"/>
                <w:szCs w:val="24"/>
                <w:highlight w:val="none"/>
                <w:lang w:val="en-US" w:eastAsia="zh-CN"/>
              </w:rPr>
              <w:t>分，最高得</w:t>
            </w:r>
            <w:r>
              <w:rPr>
                <w:color w:val="auto"/>
                <w:sz w:val="24"/>
                <w:szCs w:val="24"/>
                <w:highlight w:val="none"/>
                <w:lang w:val="en-US" w:eastAsia="zh-CN"/>
              </w:rPr>
              <w:t>10</w:t>
            </w:r>
            <w:r>
              <w:rPr>
                <w:rFonts w:hint="eastAsia"/>
                <w:color w:val="auto"/>
                <w:sz w:val="24"/>
                <w:szCs w:val="24"/>
                <w:highlight w:val="none"/>
                <w:lang w:val="en-US" w:eastAsia="zh-CN"/>
              </w:rPr>
              <w:t>分。（需提供合同协议书或中标通知书）</w:t>
            </w:r>
          </w:p>
        </w:tc>
      </w:tr>
      <w:tr w14:paraId="1F40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44" w:hRule="atLeast"/>
          <w:jc w:val="center"/>
        </w:trPr>
        <w:tc>
          <w:tcPr>
            <w:tcW w:w="805" w:type="dxa"/>
            <w:vMerge w:val="continue"/>
            <w:vAlign w:val="center"/>
          </w:tcPr>
          <w:p w14:paraId="6E3030B6">
            <w:pPr>
              <w:pStyle w:val="47"/>
              <w:spacing w:line="360" w:lineRule="auto"/>
              <w:jc w:val="center"/>
              <w:rPr>
                <w:rFonts w:cs="Times New Roman"/>
                <w:color w:val="auto"/>
                <w:sz w:val="24"/>
                <w:szCs w:val="24"/>
                <w:highlight w:val="none"/>
              </w:rPr>
            </w:pPr>
          </w:p>
        </w:tc>
        <w:tc>
          <w:tcPr>
            <w:tcW w:w="1250" w:type="dxa"/>
            <w:vMerge w:val="continue"/>
            <w:vAlign w:val="center"/>
          </w:tcPr>
          <w:p w14:paraId="38FCF510">
            <w:pPr>
              <w:pStyle w:val="47"/>
              <w:spacing w:line="360" w:lineRule="auto"/>
              <w:jc w:val="center"/>
              <w:rPr>
                <w:rFonts w:cs="Times New Roman"/>
                <w:color w:val="auto"/>
                <w:sz w:val="24"/>
                <w:szCs w:val="24"/>
                <w:highlight w:val="none"/>
              </w:rPr>
            </w:pPr>
          </w:p>
        </w:tc>
        <w:tc>
          <w:tcPr>
            <w:tcW w:w="2223" w:type="dxa"/>
            <w:vAlign w:val="center"/>
          </w:tcPr>
          <w:p w14:paraId="7E256595">
            <w:pPr>
              <w:pStyle w:val="47"/>
              <w:spacing w:line="360" w:lineRule="auto"/>
              <w:jc w:val="center"/>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人员配置（5分）</w:t>
            </w:r>
          </w:p>
        </w:tc>
        <w:tc>
          <w:tcPr>
            <w:tcW w:w="5652" w:type="dxa"/>
            <w:vAlign w:val="center"/>
          </w:tcPr>
          <w:p w14:paraId="41FDF8D6">
            <w:pPr>
              <w:keepNext w:val="0"/>
              <w:keepLines w:val="0"/>
              <w:widowControl/>
              <w:suppressLineNumbers w:val="0"/>
              <w:spacing w:line="360" w:lineRule="auto"/>
              <w:jc w:val="left"/>
              <w:rPr>
                <w:rFonts w:hint="default" w:cs="Times New Roman"/>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针对本项目采购需求配置有经验的服务团队，明确工作任务，对不可控制因素造成的人员变动，有替换计划。拟派服务团队总人数在 10 人（含）以上得 5 分，4（含）-6 人得 3 分，3 人(含）以下得 1 分，未提供的不得分。（团队人员须包含</w:t>
            </w:r>
            <w:r>
              <w:rPr>
                <w:rFonts w:hint="eastAsia" w:ascii="宋体" w:hAnsi="宋体" w:eastAsia="宋体" w:cs="宋体"/>
                <w:color w:val="auto"/>
                <w:kern w:val="2"/>
                <w:sz w:val="24"/>
                <w:szCs w:val="24"/>
                <w:highlight w:val="none"/>
                <w:lang w:val="zh-CN" w:eastAsia="zh-CN" w:bidi="ar-SA"/>
              </w:rPr>
              <w:t>有清真饮食习惯</w:t>
            </w:r>
            <w:r>
              <w:rPr>
                <w:rFonts w:hint="eastAsia" w:ascii="宋体" w:hAnsi="宋体" w:eastAsia="宋体" w:cs="宋体"/>
                <w:color w:val="auto"/>
                <w:kern w:val="2"/>
                <w:sz w:val="24"/>
                <w:szCs w:val="24"/>
                <w:highlight w:val="none"/>
                <w:lang w:val="en-US" w:eastAsia="zh-CN" w:bidi="ar-SA"/>
              </w:rPr>
              <w:t>的人员</w:t>
            </w:r>
            <w:r>
              <w:rPr>
                <w:rFonts w:hint="eastAsia" w:ascii="宋体" w:hAnsi="宋体" w:cs="宋体"/>
                <w:color w:val="auto"/>
                <w:kern w:val="2"/>
                <w:sz w:val="24"/>
                <w:szCs w:val="24"/>
                <w:highlight w:val="none"/>
                <w:lang w:val="en-US" w:eastAsia="zh-CN" w:bidi="ar-SA"/>
              </w:rPr>
              <w:t>，需提供人员身份证及</w:t>
            </w:r>
            <w:r>
              <w:rPr>
                <w:rFonts w:hint="eastAsia" w:ascii="宋体" w:hAnsi="宋体" w:eastAsia="宋体" w:cs="宋体"/>
                <w:color w:val="auto"/>
                <w:kern w:val="2"/>
                <w:sz w:val="24"/>
                <w:szCs w:val="24"/>
                <w:highlight w:val="none"/>
                <w:lang w:val="en-US" w:eastAsia="zh-CN" w:bidi="ar-SA"/>
              </w:rPr>
              <w:t>劳动合同的扫描（复印）件）</w:t>
            </w:r>
            <w:r>
              <w:rPr>
                <w:rFonts w:hint="eastAsia" w:ascii="宋体" w:hAnsi="宋体" w:cs="宋体"/>
                <w:color w:val="auto"/>
                <w:kern w:val="2"/>
                <w:sz w:val="24"/>
                <w:szCs w:val="24"/>
                <w:highlight w:val="none"/>
                <w:lang w:val="en-US" w:eastAsia="zh-CN" w:bidi="ar-SA"/>
              </w:rPr>
              <w:t>以上人员缺少任何一项要求均不得分。</w:t>
            </w:r>
          </w:p>
        </w:tc>
      </w:tr>
      <w:tr w14:paraId="5D38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3" w:hRule="atLeast"/>
          <w:jc w:val="center"/>
        </w:trPr>
        <w:tc>
          <w:tcPr>
            <w:tcW w:w="805" w:type="dxa"/>
            <w:vMerge w:val="continue"/>
            <w:vAlign w:val="center"/>
          </w:tcPr>
          <w:p w14:paraId="4B8104E9">
            <w:pPr>
              <w:pStyle w:val="47"/>
              <w:spacing w:line="360" w:lineRule="auto"/>
              <w:jc w:val="center"/>
              <w:rPr>
                <w:rFonts w:cs="Times New Roman"/>
                <w:color w:val="auto"/>
                <w:sz w:val="24"/>
                <w:szCs w:val="24"/>
                <w:highlight w:val="none"/>
              </w:rPr>
            </w:pPr>
          </w:p>
        </w:tc>
        <w:tc>
          <w:tcPr>
            <w:tcW w:w="1250" w:type="dxa"/>
            <w:vMerge w:val="restart"/>
            <w:vAlign w:val="center"/>
          </w:tcPr>
          <w:p w14:paraId="5D152C03">
            <w:pPr>
              <w:spacing w:line="360" w:lineRule="auto"/>
              <w:jc w:val="center"/>
              <w:rPr>
                <w:rFonts w:ascii="宋体" w:cs="Times New Roman"/>
                <w:color w:val="auto"/>
                <w:kern w:val="0"/>
                <w:sz w:val="24"/>
                <w:szCs w:val="24"/>
                <w:highlight w:val="none"/>
              </w:rPr>
            </w:pPr>
            <w:r>
              <w:rPr>
                <w:rFonts w:hint="eastAsia" w:ascii="宋体" w:hAnsi="宋体" w:cs="宋体"/>
                <w:color w:val="auto"/>
                <w:kern w:val="0"/>
                <w:sz w:val="24"/>
                <w:szCs w:val="24"/>
                <w:highlight w:val="none"/>
                <w:lang w:val="zh-CN"/>
              </w:rPr>
              <w:t>技术评分标准</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85</w:t>
            </w:r>
            <w:r>
              <w:rPr>
                <w:rFonts w:hint="eastAsia" w:ascii="宋体" w:hAnsi="宋体" w:cs="宋体"/>
                <w:color w:val="auto"/>
                <w:kern w:val="0"/>
                <w:sz w:val="24"/>
                <w:szCs w:val="24"/>
                <w:highlight w:val="none"/>
                <w:lang w:val="zh-CN"/>
              </w:rPr>
              <w:t>分</w:t>
            </w:r>
            <w:r>
              <w:rPr>
                <w:rFonts w:ascii="宋体" w:hAnsi="宋体" w:cs="宋体"/>
                <w:color w:val="auto"/>
                <w:kern w:val="0"/>
                <w:sz w:val="24"/>
                <w:szCs w:val="24"/>
                <w:highlight w:val="none"/>
                <w:lang w:val="zh-CN"/>
              </w:rPr>
              <w:t>)</w:t>
            </w:r>
          </w:p>
        </w:tc>
        <w:tc>
          <w:tcPr>
            <w:tcW w:w="2223" w:type="dxa"/>
            <w:vAlign w:val="center"/>
          </w:tcPr>
          <w:p w14:paraId="3F301090">
            <w:pPr>
              <w:spacing w:line="360" w:lineRule="auto"/>
              <w:jc w:val="center"/>
              <w:rPr>
                <w:rFonts w:hint="eastAsia" w:ascii="宋体" w:hAnsi="宋体" w:cs="宋体"/>
                <w:color w:val="auto"/>
                <w:spacing w:val="0"/>
                <w:w w:val="100"/>
                <w:position w:val="0"/>
                <w:sz w:val="24"/>
                <w:szCs w:val="24"/>
                <w:lang w:val="en-US" w:eastAsia="zh-CN"/>
              </w:rPr>
            </w:pPr>
            <w:r>
              <w:rPr>
                <w:rFonts w:hint="eastAsia" w:ascii="宋体" w:hAnsi="宋体" w:cs="宋体"/>
                <w:color w:val="auto"/>
                <w:spacing w:val="0"/>
                <w:w w:val="100"/>
                <w:position w:val="0"/>
                <w:sz w:val="24"/>
                <w:szCs w:val="24"/>
                <w:lang w:val="en-US" w:eastAsia="zh-CN"/>
              </w:rPr>
              <w:t>服务内容的响应</w:t>
            </w:r>
          </w:p>
          <w:p w14:paraId="53909451">
            <w:pPr>
              <w:spacing w:line="360" w:lineRule="auto"/>
              <w:jc w:val="center"/>
              <w:rPr>
                <w:rFonts w:hint="default" w:ascii="宋体" w:cs="Times New Roman"/>
                <w:color w:val="auto"/>
                <w:kern w:val="0"/>
                <w:sz w:val="24"/>
                <w:szCs w:val="24"/>
                <w:highlight w:val="none"/>
                <w:lang w:val="en-US"/>
              </w:rPr>
            </w:pPr>
            <w:r>
              <w:rPr>
                <w:rFonts w:hint="eastAsia" w:ascii="宋体" w:hAnsi="宋体" w:cs="宋体"/>
                <w:color w:val="auto"/>
                <w:spacing w:val="0"/>
                <w:w w:val="100"/>
                <w:position w:val="0"/>
                <w:sz w:val="24"/>
                <w:szCs w:val="24"/>
                <w:lang w:val="en-US" w:eastAsia="zh-CN"/>
              </w:rPr>
              <w:t>（35分）</w:t>
            </w:r>
          </w:p>
        </w:tc>
        <w:tc>
          <w:tcPr>
            <w:tcW w:w="5652" w:type="dxa"/>
            <w:vAlign w:val="center"/>
          </w:tcPr>
          <w:p w14:paraId="02F477D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投标供应商应逐条响应询比采购文件中第五章采购需求中的内容，所提供的服务完全满足或高于询比采购文件要求的，得35分；其中标有“★”项的条款未满足按无效投标处理，其余要求每有一项负偏离扣 3分，扣完该项得分为止。 </w:t>
            </w:r>
          </w:p>
          <w:p w14:paraId="31E207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宋体" w:eastAsia="宋体" w:cs="Times New Roman"/>
                <w:color w:val="auto"/>
                <w:kern w:val="0"/>
                <w:sz w:val="24"/>
                <w:szCs w:val="24"/>
                <w:highlight w:val="none"/>
                <w:lang w:eastAsia="zh-CN"/>
              </w:rPr>
            </w:pPr>
            <w:r>
              <w:rPr>
                <w:rFonts w:hint="eastAsia" w:ascii="宋体" w:hAnsi="宋体" w:eastAsia="宋体" w:cs="宋体"/>
                <w:color w:val="auto"/>
                <w:kern w:val="0"/>
                <w:sz w:val="24"/>
                <w:szCs w:val="24"/>
                <w:lang w:val="en-US" w:eastAsia="zh-CN" w:bidi="ar"/>
              </w:rPr>
              <w:t>（注：</w:t>
            </w:r>
            <w:r>
              <w:rPr>
                <w:rFonts w:hint="eastAsia" w:ascii="宋体" w:hAnsi="宋体" w:eastAsia="宋体" w:cs="宋体"/>
                <w:color w:val="auto"/>
                <w:sz w:val="24"/>
                <w:szCs w:val="24"/>
                <w:lang w:val="en-US" w:eastAsia="zh-CN"/>
              </w:rPr>
              <w:t>此</w:t>
            </w:r>
            <w:r>
              <w:rPr>
                <w:rFonts w:hint="eastAsia" w:ascii="宋体" w:hAnsi="宋体" w:eastAsia="宋体" w:cs="宋体"/>
                <w:color w:val="auto"/>
                <w:sz w:val="24"/>
                <w:szCs w:val="24"/>
                <w:lang w:val="zh-CN" w:eastAsia="zh-CN"/>
              </w:rPr>
              <w:t>项评分以相关</w:t>
            </w:r>
            <w:r>
              <w:rPr>
                <w:rFonts w:hint="eastAsia" w:ascii="宋体" w:hAnsi="宋体" w:eastAsia="宋体" w:cs="宋体"/>
                <w:color w:val="auto"/>
                <w:sz w:val="24"/>
                <w:szCs w:val="24"/>
                <w:lang w:val="en-US" w:eastAsia="zh-CN"/>
              </w:rPr>
              <w:t>证明资料或承诺函为依据进行评审</w:t>
            </w:r>
            <w:r>
              <w:rPr>
                <w:rFonts w:hint="eastAsia" w:ascii="宋体" w:hAnsi="宋体" w:eastAsia="宋体" w:cs="宋体"/>
                <w:color w:val="auto"/>
                <w:kern w:val="0"/>
                <w:sz w:val="24"/>
                <w:szCs w:val="24"/>
                <w:lang w:val="en-US" w:eastAsia="zh-CN" w:bidi="ar"/>
              </w:rPr>
              <w:t>。其中商务要求 1、2、3、4、7、9 项须提供承诺书5、6</w:t>
            </w:r>
            <w:r>
              <w:rPr>
                <w:rFonts w:hint="eastAsia" w:ascii="宋体" w:hAnsi="宋体" w:cs="宋体"/>
                <w:color w:val="auto"/>
                <w:kern w:val="0"/>
                <w:sz w:val="24"/>
                <w:szCs w:val="24"/>
                <w:lang w:val="en-US" w:eastAsia="zh-CN" w:bidi="ar"/>
              </w:rPr>
              <w:t>、11</w:t>
            </w:r>
            <w:r>
              <w:rPr>
                <w:rFonts w:hint="eastAsia" w:ascii="宋体" w:hAnsi="宋体" w:eastAsia="宋体" w:cs="宋体"/>
                <w:color w:val="auto"/>
                <w:kern w:val="0"/>
                <w:sz w:val="24"/>
                <w:szCs w:val="24"/>
                <w:lang w:val="en-US" w:eastAsia="zh-CN" w:bidi="ar"/>
              </w:rPr>
              <w:t>项需提供相关证书</w:t>
            </w:r>
            <w:r>
              <w:rPr>
                <w:rFonts w:hint="eastAsia" w:ascii="宋体" w:hAnsi="宋体" w:cs="宋体"/>
                <w:color w:val="auto"/>
                <w:kern w:val="0"/>
                <w:sz w:val="24"/>
                <w:szCs w:val="24"/>
                <w:lang w:val="en-US" w:eastAsia="zh-CN" w:bidi="ar"/>
              </w:rPr>
              <w:t>或</w:t>
            </w:r>
            <w:r>
              <w:rPr>
                <w:rFonts w:hint="eastAsia" w:ascii="宋体" w:hAnsi="宋体" w:eastAsia="宋体" w:cs="宋体"/>
                <w:color w:val="auto"/>
                <w:kern w:val="0"/>
                <w:sz w:val="24"/>
                <w:szCs w:val="24"/>
                <w:lang w:val="en-US" w:eastAsia="zh-CN" w:bidi="ar"/>
              </w:rPr>
              <w:t>证明材料，同时</w:t>
            </w:r>
            <w:r>
              <w:rPr>
                <w:rFonts w:hint="eastAsia" w:ascii="宋体" w:hAnsi="宋体" w:cs="宋体"/>
                <w:color w:val="auto"/>
                <w:kern w:val="0"/>
                <w:sz w:val="24"/>
                <w:szCs w:val="24"/>
                <w:lang w:val="en-US" w:eastAsia="zh-CN" w:bidi="ar"/>
              </w:rPr>
              <w:t>5、6项中的</w:t>
            </w:r>
            <w:r>
              <w:rPr>
                <w:rFonts w:hint="eastAsia" w:ascii="宋体" w:hAnsi="宋体" w:eastAsia="宋体" w:cs="宋体"/>
                <w:color w:val="auto"/>
                <w:kern w:val="0"/>
                <w:sz w:val="24"/>
                <w:szCs w:val="24"/>
                <w:lang w:val="en-US" w:eastAsia="zh-CN" w:bidi="ar"/>
              </w:rPr>
              <w:t>人员须为本单位人员，</w:t>
            </w:r>
            <w:r>
              <w:rPr>
                <w:rFonts w:hint="eastAsia" w:ascii="宋体" w:hAnsi="宋体" w:cs="宋体"/>
                <w:color w:val="auto"/>
                <w:kern w:val="0"/>
                <w:sz w:val="24"/>
                <w:szCs w:val="24"/>
                <w:lang w:val="en-US" w:eastAsia="zh-CN" w:bidi="ar"/>
              </w:rPr>
              <w:t>并按要求提供</w:t>
            </w:r>
            <w:r>
              <w:rPr>
                <w:rFonts w:hint="eastAsia" w:ascii="宋体" w:hAnsi="宋体" w:eastAsia="宋体" w:cs="宋体"/>
                <w:color w:val="auto"/>
                <w:kern w:val="0"/>
                <w:sz w:val="24"/>
                <w:szCs w:val="24"/>
                <w:lang w:val="en-US" w:eastAsia="zh-CN" w:bidi="ar"/>
              </w:rPr>
              <w:t>相关证明材料）</w:t>
            </w:r>
          </w:p>
        </w:tc>
      </w:tr>
      <w:tr w14:paraId="1BB6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2" w:hRule="atLeast"/>
          <w:jc w:val="center"/>
        </w:trPr>
        <w:tc>
          <w:tcPr>
            <w:tcW w:w="805" w:type="dxa"/>
            <w:vMerge w:val="continue"/>
            <w:vAlign w:val="center"/>
          </w:tcPr>
          <w:p w14:paraId="52B9897A">
            <w:pPr>
              <w:pStyle w:val="47"/>
              <w:spacing w:line="360" w:lineRule="auto"/>
              <w:jc w:val="center"/>
              <w:rPr>
                <w:rFonts w:cs="Times New Roman"/>
                <w:color w:val="auto"/>
                <w:sz w:val="24"/>
                <w:szCs w:val="24"/>
                <w:highlight w:val="none"/>
              </w:rPr>
            </w:pPr>
          </w:p>
        </w:tc>
        <w:tc>
          <w:tcPr>
            <w:tcW w:w="1250" w:type="dxa"/>
            <w:vMerge w:val="continue"/>
            <w:vAlign w:val="center"/>
          </w:tcPr>
          <w:p w14:paraId="081A8A50">
            <w:pPr>
              <w:spacing w:line="360" w:lineRule="auto"/>
              <w:jc w:val="center"/>
              <w:rPr>
                <w:rFonts w:hint="eastAsia" w:ascii="宋体" w:hAnsi="宋体" w:cs="宋体"/>
                <w:color w:val="auto"/>
                <w:kern w:val="0"/>
                <w:sz w:val="24"/>
                <w:szCs w:val="24"/>
                <w:highlight w:val="none"/>
                <w:lang w:val="zh-CN"/>
              </w:rPr>
            </w:pPr>
          </w:p>
        </w:tc>
        <w:tc>
          <w:tcPr>
            <w:tcW w:w="2223" w:type="dxa"/>
            <w:vAlign w:val="center"/>
          </w:tcPr>
          <w:p w14:paraId="47F76FC1">
            <w:pPr>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总体</w:t>
            </w:r>
            <w:r>
              <w:rPr>
                <w:rFonts w:hint="eastAsia" w:ascii="宋体" w:hAnsi="宋体" w:cs="宋体"/>
                <w:color w:val="auto"/>
                <w:kern w:val="2"/>
                <w:sz w:val="24"/>
                <w:szCs w:val="24"/>
                <w:highlight w:val="none"/>
                <w:lang w:val="en-US" w:eastAsia="zh-CN" w:bidi="ar-SA"/>
              </w:rPr>
              <w:t>实施</w:t>
            </w:r>
            <w:r>
              <w:rPr>
                <w:rFonts w:hint="eastAsia" w:ascii="宋体" w:hAnsi="宋体" w:eastAsia="宋体" w:cs="宋体"/>
                <w:color w:val="auto"/>
                <w:kern w:val="2"/>
                <w:sz w:val="24"/>
                <w:szCs w:val="24"/>
                <w:highlight w:val="none"/>
                <w:lang w:val="zh-CN" w:eastAsia="zh-CN" w:bidi="ar-SA"/>
              </w:rPr>
              <w:t>方案</w:t>
            </w:r>
          </w:p>
          <w:p w14:paraId="1A3039DE">
            <w:pPr>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（20分）</w:t>
            </w:r>
          </w:p>
        </w:tc>
        <w:tc>
          <w:tcPr>
            <w:tcW w:w="5652" w:type="dxa"/>
            <w:vAlign w:val="center"/>
          </w:tcPr>
          <w:p w14:paraId="705CF06D">
            <w:pPr>
              <w:numPr>
                <w:ilvl w:val="0"/>
                <w:numId w:val="0"/>
              </w:numPr>
              <w:spacing w:line="360" w:lineRule="auto"/>
              <w:jc w:val="left"/>
              <w:rPr>
                <w:rFonts w:hint="eastAsia" w:ascii="宋体" w:hAnsi="宋体" w:cs="宋体"/>
                <w:color w:val="auto"/>
                <w:kern w:val="0"/>
                <w:sz w:val="24"/>
                <w:szCs w:val="24"/>
                <w:highlight w:val="none"/>
              </w:rPr>
            </w:pPr>
            <w:r>
              <w:rPr>
                <w:rFonts w:hint="eastAsia" w:cs="宋体"/>
                <w:b/>
                <w:bCs/>
                <w:color w:val="auto"/>
                <w:sz w:val="24"/>
                <w:szCs w:val="28"/>
                <w:lang w:val="zh-CN"/>
              </w:rPr>
              <w:t>（</w:t>
            </w:r>
            <w:r>
              <w:rPr>
                <w:rFonts w:hint="eastAsia" w:cs="宋体"/>
                <w:b/>
                <w:bCs/>
                <w:color w:val="auto"/>
                <w:sz w:val="24"/>
                <w:szCs w:val="28"/>
                <w:lang w:val="en-US" w:eastAsia="zh-CN"/>
              </w:rPr>
              <w:t>1</w:t>
            </w:r>
            <w:r>
              <w:rPr>
                <w:rFonts w:hint="eastAsia" w:cs="宋体"/>
                <w:b/>
                <w:bCs/>
                <w:color w:val="auto"/>
                <w:sz w:val="24"/>
                <w:szCs w:val="28"/>
                <w:lang w:val="zh-CN"/>
              </w:rPr>
              <w:t>）</w:t>
            </w:r>
            <w:r>
              <w:rPr>
                <w:rFonts w:hint="eastAsia" w:cs="宋体"/>
                <w:b/>
                <w:bCs/>
                <w:color w:val="auto"/>
                <w:sz w:val="24"/>
                <w:szCs w:val="28"/>
                <w:lang w:val="zh-CN" w:eastAsia="zh-CN"/>
              </w:rPr>
              <w:t>项目总体实施方案</w:t>
            </w:r>
            <w:r>
              <w:rPr>
                <w:rFonts w:hint="eastAsia" w:ascii="宋体" w:hAnsi="宋体" w:eastAsia="宋体" w:cs="宋体"/>
                <w:b/>
                <w:bCs/>
                <w:color w:val="auto"/>
                <w:kern w:val="0"/>
                <w:sz w:val="24"/>
                <w:szCs w:val="24"/>
                <w:highlight w:val="none"/>
                <w:lang w:val="zh-CN" w:eastAsia="zh-CN" w:bidi="ar"/>
              </w:rPr>
              <w:t>（</w:t>
            </w:r>
            <w:r>
              <w:rPr>
                <w:rFonts w:hint="eastAsia" w:ascii="宋体" w:hAnsi="宋体" w:eastAsia="宋体" w:cs="宋体"/>
                <w:b/>
                <w:bCs/>
                <w:color w:val="auto"/>
                <w:kern w:val="0"/>
                <w:sz w:val="24"/>
                <w:szCs w:val="24"/>
                <w:highlight w:val="none"/>
                <w:lang w:val="en-US" w:eastAsia="zh-CN" w:bidi="ar"/>
              </w:rPr>
              <w:t>20</w:t>
            </w:r>
            <w:r>
              <w:rPr>
                <w:rFonts w:hint="eastAsia" w:ascii="宋体" w:hAnsi="宋体" w:eastAsia="宋体" w:cs="宋体"/>
                <w:b/>
                <w:bCs/>
                <w:color w:val="auto"/>
                <w:kern w:val="0"/>
                <w:sz w:val="24"/>
                <w:szCs w:val="24"/>
                <w:highlight w:val="none"/>
                <w:lang w:val="zh-CN" w:eastAsia="zh-CN" w:bidi="ar"/>
              </w:rPr>
              <w:t>分）</w:t>
            </w: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color w:val="auto"/>
                <w:sz w:val="24"/>
                <w:szCs w:val="24"/>
                <w:highlight w:val="none"/>
                <w:lang w:val="en-US" w:eastAsia="zh-CN"/>
              </w:rPr>
              <w:t>提供针对本项目实际需求和特点制定</w:t>
            </w:r>
            <w:r>
              <w:rPr>
                <w:rFonts w:hint="eastAsia" w:ascii="宋体" w:hAnsi="宋体" w:cs="宋体"/>
                <w:color w:val="auto"/>
                <w:sz w:val="24"/>
                <w:szCs w:val="24"/>
                <w:highlight w:val="none"/>
                <w:lang w:val="en-US" w:eastAsia="zh-CN"/>
              </w:rPr>
              <w:t>实施</w:t>
            </w:r>
            <w:r>
              <w:rPr>
                <w:rFonts w:hint="eastAsia" w:ascii="宋体" w:hAnsi="宋体" w:eastAsia="宋体" w:cs="宋体"/>
                <w:color w:val="auto"/>
                <w:sz w:val="24"/>
                <w:szCs w:val="24"/>
                <w:highlight w:val="none"/>
                <w:lang w:val="en-US" w:eastAsia="zh-CN"/>
              </w:rPr>
              <w:t>方案，内容包含但不限于：</w:t>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en-US" w:eastAsia="zh-CN"/>
              </w:rPr>
              <w:t>总体投入人员及设备计划；</w:t>
            </w:r>
            <w:r>
              <w:rPr>
                <w:rFonts w:hint="eastAsia" w:ascii="宋体" w:hAnsi="宋体" w:eastAsia="宋体" w:cs="宋体"/>
                <w:color w:val="auto"/>
                <w:sz w:val="24"/>
                <w:szCs w:val="24"/>
                <w:highlight w:val="none"/>
                <w:lang w:val="zh-CN" w:eastAsia="zh-CN"/>
              </w:rPr>
              <w:t>②总体经营项目布局方案（含未来3年的经营规划）；③操作规程控制管理方案；④</w:t>
            </w:r>
            <w:r>
              <w:rPr>
                <w:rFonts w:hint="eastAsia" w:ascii="宋体" w:hAnsi="宋体" w:eastAsia="宋体" w:cs="宋体"/>
                <w:color w:val="auto"/>
                <w:sz w:val="24"/>
                <w:szCs w:val="24"/>
                <w:highlight w:val="none"/>
                <w:lang w:val="en-US" w:eastAsia="zh-CN"/>
              </w:rPr>
              <w:t>总体</w:t>
            </w:r>
            <w:r>
              <w:rPr>
                <w:rFonts w:hint="eastAsia" w:ascii="宋体" w:hAnsi="宋体" w:eastAsia="宋体" w:cs="宋体"/>
                <w:color w:val="auto"/>
                <w:sz w:val="24"/>
                <w:szCs w:val="24"/>
                <w:highlight w:val="none"/>
                <w:lang w:val="zh-CN" w:eastAsia="zh-CN"/>
              </w:rPr>
              <w:t>服务质量</w:t>
            </w:r>
            <w:r>
              <w:rPr>
                <w:rFonts w:hint="eastAsia" w:ascii="宋体" w:hAnsi="宋体" w:eastAsia="宋体" w:cs="宋体"/>
                <w:color w:val="auto"/>
                <w:sz w:val="24"/>
                <w:szCs w:val="24"/>
                <w:highlight w:val="none"/>
                <w:lang w:val="en-US" w:eastAsia="zh-CN"/>
              </w:rPr>
              <w:t>保证</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⑤食品</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消防、治安、停水停电停气</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的应急预案</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zh-CN" w:eastAsia="zh-CN"/>
              </w:rPr>
              <w:t>以上因素每实质性响应一项得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分，每有一项存在缺陷或不足的扣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分，满分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分，未实质性响应或未提供不得分。</w:t>
            </w:r>
          </w:p>
        </w:tc>
      </w:tr>
      <w:tr w14:paraId="2999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8" w:hRule="atLeast"/>
          <w:jc w:val="center"/>
        </w:trPr>
        <w:tc>
          <w:tcPr>
            <w:tcW w:w="805" w:type="dxa"/>
            <w:vMerge w:val="continue"/>
            <w:vAlign w:val="center"/>
          </w:tcPr>
          <w:p w14:paraId="33D32909">
            <w:pPr>
              <w:pStyle w:val="47"/>
              <w:spacing w:line="360" w:lineRule="auto"/>
              <w:jc w:val="left"/>
              <w:rPr>
                <w:rFonts w:cs="Times New Roman"/>
                <w:color w:val="auto"/>
                <w:sz w:val="24"/>
                <w:szCs w:val="24"/>
                <w:highlight w:val="none"/>
                <w:lang w:val="en-US" w:eastAsia="zh-CN"/>
              </w:rPr>
            </w:pPr>
          </w:p>
        </w:tc>
        <w:tc>
          <w:tcPr>
            <w:tcW w:w="1250" w:type="dxa"/>
            <w:vMerge w:val="continue"/>
            <w:vAlign w:val="center"/>
          </w:tcPr>
          <w:p w14:paraId="2B983BEC">
            <w:pPr>
              <w:pStyle w:val="47"/>
              <w:spacing w:line="360" w:lineRule="auto"/>
              <w:jc w:val="left"/>
              <w:rPr>
                <w:rFonts w:cs="Times New Roman"/>
                <w:color w:val="auto"/>
                <w:sz w:val="24"/>
                <w:szCs w:val="24"/>
                <w:highlight w:val="none"/>
                <w:lang w:eastAsia="zh-CN"/>
              </w:rPr>
            </w:pPr>
          </w:p>
        </w:tc>
        <w:tc>
          <w:tcPr>
            <w:tcW w:w="2223" w:type="dxa"/>
            <w:vAlign w:val="center"/>
          </w:tcPr>
          <w:p w14:paraId="75AA65C5">
            <w:pPr>
              <w:pStyle w:val="59"/>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卫生安全控制措施</w:t>
            </w:r>
          </w:p>
          <w:p w14:paraId="70C5ACF4">
            <w:pPr>
              <w:pStyle w:val="59"/>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eastAsia="zh-CN" w:bidi="ar-SA"/>
              </w:rPr>
              <w:t>分）</w:t>
            </w:r>
          </w:p>
        </w:tc>
        <w:tc>
          <w:tcPr>
            <w:tcW w:w="5652" w:type="dxa"/>
            <w:vAlign w:val="center"/>
          </w:tcPr>
          <w:p w14:paraId="7FDF94A8">
            <w:pPr>
              <w:pStyle w:val="59"/>
              <w:spacing w:line="360" w:lineRule="auto"/>
              <w:rPr>
                <w:rFonts w:ascii="宋体"/>
                <w:color w:val="auto"/>
                <w:highlight w:val="none"/>
              </w:rPr>
            </w:pPr>
            <w:r>
              <w:rPr>
                <w:rFonts w:hint="eastAsia" w:ascii="宋体" w:hAnsi="宋体" w:eastAsia="宋体" w:cs="宋体"/>
                <w:b/>
                <w:bCs/>
                <w:color w:val="auto"/>
                <w:kern w:val="0"/>
                <w:sz w:val="24"/>
                <w:szCs w:val="28"/>
                <w:lang w:val="en-US" w:eastAsia="zh-CN" w:bidi="ar-SA"/>
              </w:rPr>
              <w:t>（3</w:t>
            </w:r>
            <w:r>
              <w:rPr>
                <w:rFonts w:hint="eastAsia" w:ascii="宋体" w:hAnsi="宋体" w:eastAsia="宋体" w:cs="宋体"/>
                <w:b/>
                <w:bCs/>
                <w:color w:val="auto"/>
                <w:kern w:val="0"/>
                <w:sz w:val="24"/>
                <w:szCs w:val="28"/>
                <w:lang w:val="zh-CN" w:eastAsia="zh-CN" w:bidi="ar-SA"/>
              </w:rPr>
              <w:t>）</w:t>
            </w:r>
            <w:r>
              <w:rPr>
                <w:rFonts w:hint="eastAsia" w:ascii="宋体" w:hAnsi="宋体" w:cs="宋体"/>
                <w:b/>
                <w:bCs/>
                <w:color w:val="auto"/>
                <w:kern w:val="0"/>
                <w:sz w:val="24"/>
                <w:szCs w:val="28"/>
                <w:lang w:val="en-US" w:eastAsia="zh-CN" w:bidi="ar-SA"/>
              </w:rPr>
              <w:t>卫生</w:t>
            </w:r>
            <w:r>
              <w:rPr>
                <w:rFonts w:hint="eastAsia" w:ascii="宋体" w:hAnsi="宋体" w:cs="宋体"/>
                <w:b/>
                <w:bCs/>
                <w:color w:val="auto"/>
                <w:kern w:val="0"/>
              </w:rPr>
              <w:t>安全控制措施（</w:t>
            </w:r>
            <w:r>
              <w:rPr>
                <w:rFonts w:hint="eastAsia" w:ascii="宋体" w:hAnsi="宋体" w:cs="宋体"/>
                <w:b/>
                <w:bCs/>
                <w:color w:val="auto"/>
                <w:kern w:val="0"/>
                <w:lang w:val="en-US" w:eastAsia="zh-CN"/>
              </w:rPr>
              <w:t>10</w:t>
            </w:r>
            <w:r>
              <w:rPr>
                <w:rFonts w:hint="eastAsia" w:ascii="宋体" w:hAnsi="宋体" w:cs="宋体"/>
                <w:b/>
                <w:bCs/>
                <w:color w:val="auto"/>
                <w:kern w:val="0"/>
              </w:rPr>
              <w:t>分）：</w:t>
            </w:r>
            <w:r>
              <w:rPr>
                <w:rFonts w:hint="eastAsia" w:ascii="宋体" w:hAnsi="宋体" w:eastAsia="宋体" w:cs="宋体"/>
                <w:color w:val="auto"/>
                <w:kern w:val="2"/>
                <w:sz w:val="24"/>
                <w:szCs w:val="24"/>
                <w:highlight w:val="none"/>
                <w:lang w:val="zh-CN" w:eastAsia="zh-CN" w:bidi="ar-SA"/>
              </w:rPr>
              <w:t>投标人针对本项目提供</w:t>
            </w:r>
            <w:r>
              <w:rPr>
                <w:rFonts w:hint="eastAsia" w:ascii="宋体" w:hAnsi="宋体" w:eastAsia="宋体" w:cs="宋体"/>
                <w:color w:val="auto"/>
                <w:kern w:val="2"/>
                <w:sz w:val="24"/>
                <w:szCs w:val="24"/>
                <w:highlight w:val="none"/>
                <w:lang w:val="en-US" w:eastAsia="zh-CN" w:bidi="ar-SA"/>
              </w:rPr>
              <w:t>卫生</w:t>
            </w:r>
            <w:r>
              <w:rPr>
                <w:rFonts w:hint="eastAsia" w:ascii="宋体" w:hAnsi="宋体" w:eastAsia="宋体" w:cs="宋体"/>
                <w:color w:val="auto"/>
                <w:kern w:val="2"/>
                <w:sz w:val="24"/>
                <w:szCs w:val="24"/>
                <w:highlight w:val="none"/>
                <w:lang w:val="zh-CN" w:eastAsia="zh-CN" w:bidi="ar-SA"/>
              </w:rPr>
              <w:t>安全控制措施，具体内容包含但不限于：①食材采购和储存</w:t>
            </w:r>
            <w:r>
              <w:rPr>
                <w:rFonts w:hint="eastAsia" w:ascii="宋体" w:hAnsi="宋体" w:eastAsia="宋体" w:cs="宋体"/>
                <w:color w:val="auto"/>
                <w:kern w:val="2"/>
                <w:sz w:val="24"/>
                <w:szCs w:val="24"/>
                <w:highlight w:val="none"/>
                <w:lang w:val="en-US" w:eastAsia="zh-CN" w:bidi="ar-SA"/>
              </w:rPr>
              <w:t>卫生</w:t>
            </w:r>
            <w:r>
              <w:rPr>
                <w:rFonts w:hint="eastAsia" w:ascii="宋体" w:hAnsi="宋体" w:eastAsia="宋体" w:cs="宋体"/>
                <w:color w:val="auto"/>
                <w:kern w:val="2"/>
                <w:sz w:val="24"/>
                <w:szCs w:val="24"/>
                <w:highlight w:val="none"/>
                <w:lang w:val="zh-CN" w:eastAsia="zh-CN" w:bidi="ar-SA"/>
              </w:rPr>
              <w:t>措施；②食品加工和烹饪过程</w:t>
            </w:r>
            <w:r>
              <w:rPr>
                <w:rFonts w:hint="eastAsia" w:ascii="宋体" w:hAnsi="宋体" w:eastAsia="宋体" w:cs="宋体"/>
                <w:color w:val="auto"/>
                <w:kern w:val="2"/>
                <w:sz w:val="24"/>
                <w:szCs w:val="24"/>
                <w:highlight w:val="none"/>
                <w:lang w:val="en-US" w:eastAsia="zh-CN" w:bidi="ar-SA"/>
              </w:rPr>
              <w:t>的卫生</w:t>
            </w:r>
            <w:r>
              <w:rPr>
                <w:rFonts w:hint="eastAsia" w:ascii="宋体" w:hAnsi="宋体" w:eastAsia="宋体" w:cs="宋体"/>
                <w:color w:val="auto"/>
                <w:kern w:val="2"/>
                <w:sz w:val="24"/>
                <w:szCs w:val="24"/>
                <w:highlight w:val="none"/>
                <w:lang w:val="zh-CN" w:eastAsia="zh-CN" w:bidi="ar-SA"/>
              </w:rPr>
              <w:t>措施</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lang w:val="zh-CN" w:eastAsia="zh-CN"/>
              </w:rPr>
              <w:t>食品在生产、加工、</w:t>
            </w:r>
            <w:r>
              <w:rPr>
                <w:rFonts w:hint="eastAsia" w:ascii="宋体" w:hAnsi="宋体" w:eastAsia="宋体" w:cs="宋体"/>
                <w:color w:val="auto"/>
                <w:sz w:val="24"/>
                <w:szCs w:val="24"/>
                <w:highlight w:val="none"/>
                <w:lang w:val="en-US" w:eastAsia="zh-CN"/>
              </w:rPr>
              <w:t>制作</w:t>
            </w:r>
            <w:r>
              <w:rPr>
                <w:rFonts w:hint="eastAsia" w:ascii="宋体" w:hAnsi="宋体" w:eastAsia="宋体" w:cs="宋体"/>
                <w:color w:val="auto"/>
                <w:sz w:val="24"/>
                <w:szCs w:val="24"/>
                <w:highlight w:val="none"/>
                <w:lang w:val="zh-CN" w:eastAsia="zh-CN"/>
              </w:rPr>
              <w:t>过程中产生的安全问题）</w:t>
            </w:r>
            <w:r>
              <w:rPr>
                <w:rFonts w:hint="eastAsia" w:ascii="宋体" w:hAnsi="宋体" w:eastAsia="宋体" w:cs="宋体"/>
                <w:color w:val="auto"/>
                <w:kern w:val="2"/>
                <w:sz w:val="24"/>
                <w:szCs w:val="24"/>
                <w:highlight w:val="none"/>
                <w:lang w:val="zh-CN" w:eastAsia="zh-CN" w:bidi="ar-SA"/>
              </w:rPr>
              <w:t>；③餐具和环境卫生措施；④员工卫生培训措施；</w:t>
            </w:r>
            <w:r>
              <w:rPr>
                <w:rFonts w:hint="eastAsia" w:ascii="宋体" w:hAnsi="宋体" w:eastAsia="宋体" w:cs="宋体"/>
                <w:color w:val="auto"/>
                <w:sz w:val="24"/>
                <w:szCs w:val="24"/>
                <w:highlight w:val="none"/>
                <w:lang w:val="en-US" w:eastAsia="zh-CN"/>
              </w:rPr>
              <w:t>⑤安全保卫措施及废弃物管理措施</w:t>
            </w:r>
            <w:r>
              <w:rPr>
                <w:rFonts w:hint="eastAsia" w:ascii="宋体" w:hAnsi="宋体" w:eastAsia="宋体" w:cs="宋体"/>
                <w:color w:val="auto"/>
                <w:kern w:val="2"/>
                <w:sz w:val="24"/>
                <w:szCs w:val="24"/>
                <w:highlight w:val="none"/>
                <w:lang w:val="zh-CN" w:eastAsia="zh-CN" w:bidi="ar-SA"/>
              </w:rPr>
              <w:t>等以上因素每实质性响应一项得</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分，每有一项存在缺陷或不足的扣</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分，满分</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eastAsia="zh-CN" w:bidi="ar-SA"/>
              </w:rPr>
              <w:t>分，未实质性响应或未提供不得分。</w:t>
            </w:r>
          </w:p>
        </w:tc>
      </w:tr>
      <w:tr w14:paraId="2045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28" w:hRule="atLeast"/>
          <w:jc w:val="center"/>
        </w:trPr>
        <w:tc>
          <w:tcPr>
            <w:tcW w:w="805" w:type="dxa"/>
            <w:vMerge w:val="continue"/>
            <w:vAlign w:val="center"/>
          </w:tcPr>
          <w:p w14:paraId="19DEA1B3">
            <w:pPr>
              <w:pStyle w:val="47"/>
              <w:spacing w:line="360" w:lineRule="auto"/>
              <w:jc w:val="left"/>
              <w:rPr>
                <w:rFonts w:cs="Times New Roman"/>
                <w:color w:val="auto"/>
                <w:sz w:val="24"/>
                <w:szCs w:val="24"/>
                <w:highlight w:val="none"/>
              </w:rPr>
            </w:pPr>
          </w:p>
        </w:tc>
        <w:tc>
          <w:tcPr>
            <w:tcW w:w="1250" w:type="dxa"/>
            <w:vMerge w:val="continue"/>
            <w:vAlign w:val="center"/>
          </w:tcPr>
          <w:p w14:paraId="06E54D52">
            <w:pPr>
              <w:pStyle w:val="47"/>
              <w:spacing w:line="360" w:lineRule="auto"/>
              <w:jc w:val="left"/>
              <w:rPr>
                <w:rFonts w:cs="Times New Roman"/>
                <w:color w:val="auto"/>
                <w:sz w:val="24"/>
                <w:szCs w:val="24"/>
                <w:highlight w:val="none"/>
              </w:rPr>
            </w:pPr>
          </w:p>
        </w:tc>
        <w:tc>
          <w:tcPr>
            <w:tcW w:w="2223" w:type="dxa"/>
            <w:vAlign w:val="center"/>
          </w:tcPr>
          <w:p w14:paraId="3207AE75">
            <w:pPr>
              <w:pStyle w:val="59"/>
              <w:spacing w:line="360" w:lineRule="auto"/>
              <w:jc w:val="center"/>
              <w:rPr>
                <w:rFonts w:hint="default"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default" w:ascii="宋体" w:hAnsi="宋体" w:eastAsia="宋体" w:cs="宋体"/>
                <w:color w:val="auto"/>
                <w:kern w:val="2"/>
                <w:sz w:val="24"/>
                <w:szCs w:val="24"/>
                <w:highlight w:val="none"/>
                <w:lang w:val="zh-CN" w:eastAsia="zh-CN" w:bidi="ar-SA"/>
              </w:rPr>
              <w:t>服务水平</w:t>
            </w:r>
            <w:r>
              <w:rPr>
                <w:rFonts w:hint="eastAsia" w:ascii="宋体" w:hAnsi="宋体" w:cs="宋体"/>
                <w:color w:val="auto"/>
                <w:kern w:val="2"/>
                <w:sz w:val="24"/>
                <w:szCs w:val="24"/>
                <w:highlight w:val="none"/>
                <w:lang w:val="zh-CN" w:eastAsia="zh-CN" w:bidi="ar-SA"/>
              </w:rPr>
              <w:t>措施</w:t>
            </w:r>
          </w:p>
          <w:p w14:paraId="4951671F">
            <w:pPr>
              <w:pStyle w:val="59"/>
              <w:spacing w:line="360" w:lineRule="auto"/>
              <w:jc w:val="center"/>
              <w:rPr>
                <w:rFonts w:hint="eastAsia" w:ascii="宋体" w:eastAsia="宋体"/>
                <w:color w:val="auto"/>
                <w:highlight w:val="none"/>
                <w:lang w:eastAsia="zh-CN"/>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10分</w:t>
            </w:r>
            <w:r>
              <w:rPr>
                <w:rFonts w:hint="eastAsia" w:ascii="宋体" w:hAnsi="宋体" w:eastAsia="宋体" w:cs="宋体"/>
                <w:color w:val="auto"/>
                <w:kern w:val="2"/>
                <w:sz w:val="24"/>
                <w:szCs w:val="24"/>
                <w:highlight w:val="none"/>
                <w:lang w:val="zh-CN" w:eastAsia="zh-CN" w:bidi="ar-SA"/>
              </w:rPr>
              <w:t>）</w:t>
            </w:r>
          </w:p>
        </w:tc>
        <w:tc>
          <w:tcPr>
            <w:tcW w:w="5652" w:type="dxa"/>
            <w:vAlign w:val="center"/>
          </w:tcPr>
          <w:p w14:paraId="046CDFE4">
            <w:pPr>
              <w:pStyle w:val="59"/>
              <w:spacing w:line="360" w:lineRule="auto"/>
              <w:rPr>
                <w:rFonts w:hint="default" w:ascii="宋体" w:hAnsi="宋体" w:eastAsia="宋体" w:cs="宋体"/>
                <w:b/>
                <w:bCs/>
                <w:color w:val="auto"/>
                <w:kern w:val="0"/>
                <w:lang w:val="zh-CN" w:eastAsia="zh-CN"/>
              </w:rPr>
            </w:pPr>
            <w:r>
              <w:rPr>
                <w:rFonts w:hint="eastAsia" w:ascii="宋体" w:hAnsi="宋体" w:eastAsia="宋体" w:cs="宋体"/>
                <w:b/>
                <w:bCs/>
                <w:color w:val="auto"/>
                <w:kern w:val="0"/>
                <w:lang w:val="zh-CN" w:eastAsia="zh-CN"/>
              </w:rPr>
              <w:t>（</w:t>
            </w:r>
            <w:r>
              <w:rPr>
                <w:rFonts w:hint="eastAsia" w:ascii="宋体" w:hAnsi="宋体" w:eastAsia="宋体" w:cs="宋体"/>
                <w:b/>
                <w:bCs/>
                <w:color w:val="auto"/>
                <w:kern w:val="0"/>
                <w:lang w:val="en-US" w:eastAsia="zh-CN"/>
              </w:rPr>
              <w:t>4</w:t>
            </w:r>
            <w:r>
              <w:rPr>
                <w:rFonts w:hint="eastAsia" w:ascii="宋体" w:hAnsi="宋体" w:eastAsia="宋体" w:cs="宋体"/>
                <w:b/>
                <w:bCs/>
                <w:color w:val="auto"/>
                <w:kern w:val="0"/>
                <w:lang w:val="zh-CN" w:eastAsia="zh-CN"/>
              </w:rPr>
              <w:t>）‌</w:t>
            </w:r>
            <w:r>
              <w:rPr>
                <w:rFonts w:hint="default" w:ascii="宋体" w:hAnsi="宋体" w:eastAsia="宋体" w:cs="宋体"/>
                <w:b/>
                <w:bCs/>
                <w:color w:val="auto"/>
                <w:kern w:val="0"/>
                <w:lang w:val="zh-CN" w:eastAsia="zh-CN"/>
              </w:rPr>
              <w:t>服务水平</w:t>
            </w:r>
            <w:r>
              <w:rPr>
                <w:rFonts w:hint="eastAsia" w:ascii="宋体" w:hAnsi="宋体" w:cs="宋体"/>
                <w:b/>
                <w:bCs/>
                <w:color w:val="auto"/>
                <w:kern w:val="0"/>
                <w:lang w:val="zh-CN" w:eastAsia="zh-CN"/>
              </w:rPr>
              <w:t>措施</w:t>
            </w:r>
            <w:r>
              <w:rPr>
                <w:rFonts w:hint="eastAsia" w:ascii="宋体" w:hAnsi="宋体" w:eastAsia="宋体" w:cs="宋体"/>
                <w:b/>
                <w:bCs/>
                <w:color w:val="auto"/>
                <w:kern w:val="0"/>
                <w:lang w:val="zh-CN" w:eastAsia="zh-CN"/>
              </w:rPr>
              <w:t>（</w:t>
            </w:r>
            <w:r>
              <w:rPr>
                <w:rFonts w:hint="eastAsia" w:ascii="宋体" w:hAnsi="宋体" w:eastAsia="宋体" w:cs="宋体"/>
                <w:b/>
                <w:bCs/>
                <w:color w:val="auto"/>
                <w:kern w:val="0"/>
                <w:lang w:val="en-US" w:eastAsia="zh-CN"/>
              </w:rPr>
              <w:t>10分</w:t>
            </w:r>
            <w:r>
              <w:rPr>
                <w:rFonts w:hint="eastAsia" w:ascii="宋体" w:hAnsi="宋体" w:eastAsia="宋体" w:cs="宋体"/>
                <w:b/>
                <w:bCs/>
                <w:color w:val="auto"/>
                <w:kern w:val="0"/>
                <w:lang w:val="zh-CN" w:eastAsia="zh-CN"/>
              </w:rPr>
              <w:t>）：</w:t>
            </w:r>
          </w:p>
          <w:p w14:paraId="15D2E54C">
            <w:pPr>
              <w:spacing w:line="360" w:lineRule="auto"/>
              <w:rPr>
                <w:rFonts w:hint="eastAsia" w:ascii="宋体" w:eastAsia="宋体"/>
                <w:color w:val="auto"/>
                <w:highlight w:val="none"/>
                <w:lang w:val="zh-CN" w:eastAsia="zh-CN"/>
              </w:rPr>
            </w:pPr>
            <w:r>
              <w:rPr>
                <w:rFonts w:hint="eastAsia" w:ascii="宋体" w:hAnsi="宋体" w:eastAsia="宋体" w:cs="宋体"/>
                <w:color w:val="auto"/>
                <w:kern w:val="2"/>
                <w:sz w:val="24"/>
                <w:szCs w:val="24"/>
                <w:highlight w:val="none"/>
                <w:lang w:val="zh-CN" w:eastAsia="zh-CN" w:bidi="ar-SA"/>
              </w:rPr>
              <w:t>投标人针对本项目提供</w:t>
            </w:r>
            <w:r>
              <w:rPr>
                <w:rFonts w:hint="eastAsia" w:ascii="宋体" w:hAnsi="宋体" w:eastAsia="宋体" w:cs="宋体"/>
                <w:color w:val="auto"/>
                <w:kern w:val="2"/>
                <w:sz w:val="24"/>
                <w:szCs w:val="24"/>
                <w:highlight w:val="none"/>
                <w:lang w:val="en-US" w:eastAsia="zh-CN" w:bidi="ar-SA"/>
              </w:rPr>
              <w:t>总体服务水平技术及措施</w:t>
            </w:r>
            <w:r>
              <w:rPr>
                <w:rFonts w:hint="eastAsia" w:ascii="宋体" w:hAnsi="宋体" w:eastAsia="宋体" w:cs="宋体"/>
                <w:color w:val="auto"/>
                <w:kern w:val="2"/>
                <w:sz w:val="24"/>
                <w:szCs w:val="24"/>
                <w:highlight w:val="none"/>
                <w:lang w:val="zh-CN" w:eastAsia="zh-CN" w:bidi="ar-SA"/>
              </w:rPr>
              <w:t>，具体内容包含但不限于①就餐环境和设施；②服务态度和效率；③餐饮服务流程；④投诉处理和群体性突发事件及意外事故处理应急预案</w:t>
            </w:r>
            <w:r>
              <w:rPr>
                <w:rFonts w:hint="eastAsia" w:ascii="宋体" w:hAnsi="宋体" w:eastAsia="宋体" w:cs="宋体"/>
                <w:color w:val="auto"/>
                <w:sz w:val="24"/>
                <w:szCs w:val="24"/>
                <w:highlight w:val="none"/>
                <w:lang w:val="en-US" w:eastAsia="zh-CN"/>
              </w:rPr>
              <w:t>⑤相关</w:t>
            </w:r>
            <w:r>
              <w:rPr>
                <w:rFonts w:hint="eastAsia" w:ascii="宋体" w:hAnsi="宋体" w:eastAsia="宋体" w:cs="宋体"/>
                <w:color w:val="auto"/>
                <w:kern w:val="2"/>
                <w:sz w:val="24"/>
                <w:szCs w:val="24"/>
                <w:highlight w:val="none"/>
                <w:lang w:val="zh-CN" w:eastAsia="zh-CN" w:bidi="ar-SA"/>
              </w:rPr>
              <w:t>人员</w:t>
            </w:r>
            <w:r>
              <w:rPr>
                <w:rFonts w:hint="eastAsia" w:ascii="宋体" w:hAnsi="宋体" w:eastAsia="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zh-CN" w:eastAsia="zh-CN" w:bidi="ar-SA"/>
              </w:rPr>
              <w:t>职责</w:t>
            </w:r>
            <w:r>
              <w:rPr>
                <w:rFonts w:hint="eastAsia" w:ascii="宋体" w:hAnsi="宋体" w:eastAsia="宋体" w:cs="宋体"/>
                <w:color w:val="auto"/>
                <w:kern w:val="2"/>
                <w:sz w:val="24"/>
                <w:szCs w:val="24"/>
                <w:highlight w:val="none"/>
                <w:lang w:val="en-US" w:eastAsia="zh-CN" w:bidi="ar-SA"/>
              </w:rPr>
              <w:t>对应的服务内容</w:t>
            </w:r>
            <w:r>
              <w:rPr>
                <w:rFonts w:hint="eastAsia" w:ascii="宋体" w:hAnsi="宋体" w:eastAsia="宋体" w:cs="宋体"/>
                <w:color w:val="auto"/>
                <w:kern w:val="2"/>
                <w:sz w:val="24"/>
                <w:szCs w:val="24"/>
                <w:highlight w:val="none"/>
                <w:lang w:val="zh-CN" w:eastAsia="zh-CN" w:bidi="ar-SA"/>
              </w:rPr>
              <w:t>与</w:t>
            </w:r>
            <w:r>
              <w:rPr>
                <w:rFonts w:hint="eastAsia" w:ascii="宋体" w:hAnsi="宋体" w:eastAsia="宋体" w:cs="宋体"/>
                <w:color w:val="auto"/>
                <w:kern w:val="2"/>
                <w:sz w:val="24"/>
                <w:szCs w:val="24"/>
                <w:highlight w:val="none"/>
                <w:lang w:val="en-US" w:eastAsia="zh-CN" w:bidi="ar-SA"/>
              </w:rPr>
              <w:t>人员</w:t>
            </w:r>
            <w:r>
              <w:rPr>
                <w:rFonts w:hint="eastAsia" w:ascii="宋体" w:hAnsi="宋体" w:eastAsia="宋体" w:cs="宋体"/>
                <w:color w:val="auto"/>
                <w:kern w:val="2"/>
                <w:sz w:val="24"/>
                <w:szCs w:val="24"/>
                <w:highlight w:val="none"/>
                <w:lang w:val="zh-CN" w:eastAsia="zh-CN" w:bidi="ar-SA"/>
              </w:rPr>
              <w:t>管理方案等以上因素每实质性响应一项得2分，每有一项存在缺陷或不足的扣</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分，满分</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eastAsia="zh-CN" w:bidi="ar-SA"/>
              </w:rPr>
              <w:t>分，未实质性响应或未提供不得分。</w:t>
            </w:r>
          </w:p>
        </w:tc>
      </w:tr>
      <w:tr w14:paraId="1FAF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50" w:hRule="atLeast"/>
          <w:jc w:val="center"/>
        </w:trPr>
        <w:tc>
          <w:tcPr>
            <w:tcW w:w="805" w:type="dxa"/>
            <w:vMerge w:val="continue"/>
            <w:vAlign w:val="center"/>
          </w:tcPr>
          <w:p w14:paraId="6538977B">
            <w:pPr>
              <w:pStyle w:val="47"/>
              <w:spacing w:line="360" w:lineRule="auto"/>
              <w:jc w:val="left"/>
              <w:rPr>
                <w:rFonts w:cs="Times New Roman"/>
                <w:color w:val="auto"/>
                <w:sz w:val="24"/>
                <w:szCs w:val="24"/>
                <w:highlight w:val="none"/>
              </w:rPr>
            </w:pPr>
          </w:p>
        </w:tc>
        <w:tc>
          <w:tcPr>
            <w:tcW w:w="1250" w:type="dxa"/>
            <w:vMerge w:val="continue"/>
            <w:vAlign w:val="center"/>
          </w:tcPr>
          <w:p w14:paraId="1B1403FE">
            <w:pPr>
              <w:pStyle w:val="47"/>
              <w:spacing w:line="360" w:lineRule="auto"/>
              <w:jc w:val="left"/>
              <w:rPr>
                <w:rFonts w:cs="Times New Roman"/>
                <w:color w:val="auto"/>
                <w:sz w:val="24"/>
                <w:szCs w:val="24"/>
                <w:highlight w:val="none"/>
              </w:rPr>
            </w:pPr>
          </w:p>
        </w:tc>
        <w:tc>
          <w:tcPr>
            <w:tcW w:w="2223" w:type="dxa"/>
            <w:vAlign w:val="center"/>
          </w:tcPr>
          <w:p w14:paraId="6E4B6F60">
            <w:pPr>
              <w:pStyle w:val="59"/>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营养搭配方案</w:t>
            </w:r>
          </w:p>
          <w:p w14:paraId="2B15B125">
            <w:pPr>
              <w:pStyle w:val="59"/>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eastAsia="zh-CN" w:bidi="ar-SA"/>
              </w:rPr>
              <w:t>）</w:t>
            </w:r>
          </w:p>
        </w:tc>
        <w:tc>
          <w:tcPr>
            <w:tcW w:w="5652" w:type="dxa"/>
            <w:vAlign w:val="center"/>
          </w:tcPr>
          <w:p w14:paraId="47A2D6C9">
            <w:pPr>
              <w:pStyle w:val="59"/>
              <w:spacing w:line="360" w:lineRule="auto"/>
              <w:rPr>
                <w:rFonts w:hint="eastAsia" w:ascii="宋体" w:hAnsi="宋体" w:eastAsia="宋体" w:cs="宋体"/>
                <w:b/>
                <w:bCs/>
                <w:color w:val="auto"/>
                <w:kern w:val="0"/>
                <w:lang w:val="zh-CN" w:eastAsia="zh-CN"/>
              </w:rPr>
            </w:pPr>
            <w:r>
              <w:rPr>
                <w:rFonts w:hint="eastAsia" w:ascii="宋体" w:hAnsi="宋体" w:eastAsia="宋体" w:cs="宋体"/>
                <w:b/>
                <w:bCs/>
                <w:color w:val="auto"/>
                <w:kern w:val="0"/>
                <w:lang w:val="zh-CN" w:eastAsia="zh-CN"/>
              </w:rPr>
              <w:t>营养搭配方案（</w:t>
            </w:r>
            <w:r>
              <w:rPr>
                <w:rFonts w:hint="eastAsia" w:ascii="宋体" w:hAnsi="宋体" w:eastAsia="宋体" w:cs="宋体"/>
                <w:b/>
                <w:bCs/>
                <w:color w:val="auto"/>
                <w:kern w:val="0"/>
                <w:lang w:val="en-US" w:eastAsia="zh-CN"/>
              </w:rPr>
              <w:t>10分</w:t>
            </w:r>
            <w:r>
              <w:rPr>
                <w:rFonts w:hint="eastAsia" w:ascii="宋体" w:hAnsi="宋体" w:eastAsia="宋体" w:cs="宋体"/>
                <w:b/>
                <w:bCs/>
                <w:color w:val="auto"/>
                <w:kern w:val="0"/>
                <w:lang w:val="zh-CN" w:eastAsia="zh-CN"/>
              </w:rPr>
              <w:t>）：</w:t>
            </w:r>
          </w:p>
          <w:p w14:paraId="3B53F86F">
            <w:pPr>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投标人针对</w:t>
            </w:r>
            <w:r>
              <w:rPr>
                <w:rFonts w:hint="eastAsia" w:ascii="宋体" w:hAnsi="宋体" w:eastAsia="宋体" w:cs="宋体"/>
                <w:color w:val="auto"/>
                <w:kern w:val="2"/>
                <w:sz w:val="24"/>
                <w:szCs w:val="24"/>
                <w:highlight w:val="none"/>
                <w:lang w:val="en-US" w:eastAsia="zh-CN" w:bidi="ar-SA"/>
              </w:rPr>
              <w:t>本项目的采购需求及</w:t>
            </w:r>
            <w:r>
              <w:rPr>
                <w:rFonts w:hint="eastAsia" w:ascii="宋体" w:hAnsi="宋体" w:cs="宋体"/>
                <w:color w:val="auto"/>
                <w:kern w:val="2"/>
                <w:sz w:val="24"/>
                <w:szCs w:val="24"/>
                <w:highlight w:val="none"/>
                <w:lang w:val="en-US" w:eastAsia="zh-CN" w:bidi="ar-SA"/>
              </w:rPr>
              <w:t>考虑就餐人员的情况</w:t>
            </w:r>
            <w:r>
              <w:rPr>
                <w:rFonts w:hint="eastAsia" w:ascii="宋体" w:hAnsi="宋体" w:eastAsia="宋体" w:cs="宋体"/>
                <w:color w:val="auto"/>
                <w:kern w:val="2"/>
                <w:sz w:val="24"/>
                <w:szCs w:val="24"/>
                <w:highlight w:val="none"/>
                <w:lang w:val="zh-CN" w:eastAsia="zh-CN" w:bidi="ar-SA"/>
              </w:rPr>
              <w:t>提供</w:t>
            </w:r>
            <w:r>
              <w:rPr>
                <w:rFonts w:hint="eastAsia" w:ascii="宋体" w:hAnsi="宋体" w:eastAsia="宋体" w:cs="宋体"/>
                <w:color w:val="auto"/>
                <w:kern w:val="2"/>
                <w:sz w:val="24"/>
                <w:szCs w:val="24"/>
                <w:highlight w:val="none"/>
                <w:lang w:val="en-US" w:eastAsia="zh-CN" w:bidi="ar-SA"/>
              </w:rPr>
              <w:t>餐饮</w:t>
            </w:r>
            <w:r>
              <w:rPr>
                <w:rFonts w:hint="eastAsia" w:ascii="宋体" w:hAnsi="宋体" w:eastAsia="宋体" w:cs="宋体"/>
                <w:color w:val="auto"/>
                <w:kern w:val="2"/>
                <w:sz w:val="24"/>
                <w:szCs w:val="24"/>
                <w:highlight w:val="none"/>
                <w:lang w:val="zh-CN" w:eastAsia="zh-CN" w:bidi="ar-SA"/>
              </w:rPr>
              <w:t>标准计划，</w:t>
            </w:r>
            <w:r>
              <w:rPr>
                <w:rFonts w:hint="eastAsia" w:ascii="宋体" w:hAnsi="宋体" w:eastAsia="宋体" w:cs="宋体"/>
                <w:color w:val="auto"/>
                <w:kern w:val="2"/>
                <w:sz w:val="24"/>
                <w:szCs w:val="24"/>
                <w:highlight w:val="none"/>
                <w:lang w:val="en-US" w:eastAsia="zh-CN" w:bidi="ar-SA"/>
              </w:rPr>
              <w:t>内容</w:t>
            </w:r>
            <w:r>
              <w:rPr>
                <w:rFonts w:hint="eastAsia" w:ascii="宋体" w:hAnsi="宋体" w:eastAsia="宋体" w:cs="宋体"/>
                <w:color w:val="auto"/>
                <w:kern w:val="2"/>
                <w:sz w:val="24"/>
                <w:szCs w:val="24"/>
                <w:highlight w:val="none"/>
                <w:lang w:val="zh-CN" w:eastAsia="zh-CN" w:bidi="ar-SA"/>
              </w:rPr>
              <w:t>包括但不限于：①</w:t>
            </w:r>
            <w:r>
              <w:rPr>
                <w:rFonts w:hint="eastAsia" w:ascii="宋体" w:hAnsi="宋体" w:eastAsia="宋体" w:cs="宋体"/>
                <w:color w:val="auto"/>
                <w:kern w:val="2"/>
                <w:sz w:val="24"/>
                <w:szCs w:val="24"/>
                <w:highlight w:val="none"/>
                <w:lang w:val="en-US" w:eastAsia="zh-CN" w:bidi="ar-SA"/>
              </w:rPr>
              <w:t>平衡膳食计划；</w:t>
            </w:r>
            <w:r>
              <w:rPr>
                <w:rFonts w:hint="eastAsia" w:ascii="宋体" w:hAnsi="宋体" w:eastAsia="宋体" w:cs="宋体"/>
                <w:color w:val="auto"/>
                <w:kern w:val="2"/>
                <w:sz w:val="24"/>
                <w:szCs w:val="24"/>
                <w:highlight w:val="none"/>
                <w:lang w:val="zh-CN" w:eastAsia="zh-CN" w:bidi="ar-SA"/>
              </w:rPr>
              <w:t>②</w:t>
            </w:r>
            <w:r>
              <w:rPr>
                <w:rFonts w:hint="eastAsia" w:ascii="宋体" w:hAnsi="宋体" w:eastAsia="宋体" w:cs="宋体"/>
                <w:color w:val="auto"/>
                <w:kern w:val="2"/>
                <w:sz w:val="24"/>
                <w:szCs w:val="24"/>
                <w:highlight w:val="none"/>
                <w:lang w:val="en-US" w:eastAsia="zh-CN" w:bidi="ar-SA"/>
              </w:rPr>
              <w:t>多样及个性化的配餐；</w:t>
            </w:r>
            <w:r>
              <w:rPr>
                <w:rFonts w:hint="eastAsia" w:ascii="宋体" w:hAnsi="宋体" w:eastAsia="宋体" w:cs="宋体"/>
                <w:color w:val="auto"/>
                <w:kern w:val="2"/>
                <w:sz w:val="24"/>
                <w:szCs w:val="24"/>
                <w:highlight w:val="none"/>
                <w:lang w:val="zh-CN" w:eastAsia="zh-CN" w:bidi="ar-SA"/>
              </w:rPr>
              <w:t>③各类食物的摄入量</w:t>
            </w:r>
            <w:r>
              <w:rPr>
                <w:rFonts w:hint="eastAsia" w:ascii="宋体" w:hAnsi="宋体" w:eastAsia="宋体" w:cs="宋体"/>
                <w:color w:val="auto"/>
                <w:kern w:val="2"/>
                <w:sz w:val="24"/>
                <w:szCs w:val="24"/>
                <w:highlight w:val="none"/>
                <w:lang w:val="en-US" w:eastAsia="zh-CN" w:bidi="ar-SA"/>
              </w:rPr>
              <w:t>的考虑；</w:t>
            </w:r>
            <w:r>
              <w:rPr>
                <w:rFonts w:hint="eastAsia" w:ascii="宋体" w:hAnsi="宋体" w:eastAsia="宋体" w:cs="宋体"/>
                <w:color w:val="auto"/>
                <w:kern w:val="2"/>
                <w:sz w:val="24"/>
                <w:szCs w:val="24"/>
                <w:highlight w:val="none"/>
                <w:lang w:val="zh-CN" w:eastAsia="zh-CN" w:bidi="ar-SA"/>
              </w:rPr>
              <w:t>④</w:t>
            </w:r>
            <w:r>
              <w:rPr>
                <w:rFonts w:hint="eastAsia" w:ascii="宋体" w:hAnsi="宋体" w:eastAsia="宋体" w:cs="宋体"/>
                <w:color w:val="auto"/>
                <w:kern w:val="2"/>
                <w:sz w:val="24"/>
                <w:szCs w:val="24"/>
                <w:highlight w:val="none"/>
                <w:lang w:val="en-US" w:eastAsia="zh-CN" w:bidi="ar-SA"/>
              </w:rPr>
              <w:t>季节性食材的选择；⑤</w:t>
            </w:r>
            <w:r>
              <w:rPr>
                <w:rFonts w:ascii="Arial" w:hAnsi="Arial" w:eastAsia="Arial" w:cs="Arial"/>
                <w:i w:val="0"/>
                <w:iCs w:val="0"/>
                <w:caps w:val="0"/>
                <w:color w:val="auto"/>
                <w:spacing w:val="0"/>
                <w:sz w:val="24"/>
                <w:szCs w:val="24"/>
                <w:shd w:val="clear" w:fill="FFFFFF"/>
              </w:rPr>
              <w:t>合理的价格食谱</w:t>
            </w:r>
            <w:r>
              <w:rPr>
                <w:rFonts w:hint="eastAsia" w:ascii="宋体" w:hAnsi="宋体" w:eastAsia="宋体" w:cs="宋体"/>
                <w:color w:val="auto"/>
                <w:kern w:val="2"/>
                <w:sz w:val="24"/>
                <w:szCs w:val="24"/>
                <w:highlight w:val="none"/>
                <w:lang w:val="zh-CN" w:eastAsia="zh-CN" w:bidi="ar-SA"/>
              </w:rPr>
              <w:t>等以上因素每实质性响应一项得2分，每有一项存在缺陷或不足的扣</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分，满分</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eastAsia="zh-CN" w:bidi="ar-SA"/>
              </w:rPr>
              <w:t>分，未实质性响应或未提供不得分。</w:t>
            </w:r>
          </w:p>
        </w:tc>
      </w:tr>
      <w:tr w14:paraId="0654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94" w:hRule="atLeast"/>
          <w:jc w:val="center"/>
        </w:trPr>
        <w:tc>
          <w:tcPr>
            <w:tcW w:w="9930" w:type="dxa"/>
            <w:gridSpan w:val="4"/>
            <w:vAlign w:val="center"/>
          </w:tcPr>
          <w:p w14:paraId="6BEB3F2E">
            <w:pPr>
              <w:pStyle w:val="59"/>
              <w:spacing w:line="360" w:lineRule="auto"/>
              <w:rPr>
                <w:rFonts w:hint="eastAsia" w:ascii="宋体" w:hAnsi="宋体" w:cs="宋体"/>
                <w:color w:val="auto"/>
                <w:kern w:val="0"/>
                <w:sz w:val="24"/>
                <w:szCs w:val="28"/>
                <w:lang w:val="en-US" w:eastAsia="zh-CN" w:bidi="ar-SA"/>
              </w:rPr>
            </w:pPr>
            <w:r>
              <w:rPr>
                <w:rFonts w:hint="eastAsia" w:ascii="宋体" w:hAnsi="宋体" w:eastAsia="宋体" w:cs="宋体"/>
                <w:color w:val="auto"/>
                <w:sz w:val="24"/>
                <w:szCs w:val="24"/>
                <w:shd w:val="clear" w:color="auto" w:fill="FFFFFF"/>
                <w:lang w:val="zh-CN" w:eastAsia="zh-CN"/>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311C65DA">
      <w:pPr>
        <w:pStyle w:val="3"/>
        <w:rPr>
          <w:rFonts w:ascii="宋体" w:cs="Times New Roman"/>
          <w:color w:val="auto"/>
          <w:highlight w:val="none"/>
        </w:rPr>
      </w:pPr>
      <w:bookmarkStart w:id="119" w:name="bookmark462"/>
      <w:bookmarkStart w:id="120" w:name="bookmark460"/>
      <w:bookmarkStart w:id="121" w:name="bookmark461"/>
      <w:bookmarkStart w:id="122" w:name="_Toc12287"/>
      <w:bookmarkStart w:id="123" w:name="_Toc23803"/>
      <w:r>
        <w:rPr>
          <w:rFonts w:ascii="宋体" w:hAnsi="宋体" w:cs="宋体"/>
          <w:color w:val="auto"/>
          <w:highlight w:val="none"/>
        </w:rPr>
        <w:t>1</w:t>
      </w:r>
      <w:r>
        <w:rPr>
          <w:rFonts w:hint="eastAsia" w:ascii="宋体" w:hAnsi="宋体" w:cs="宋体"/>
          <w:color w:val="auto"/>
          <w:highlight w:val="none"/>
        </w:rPr>
        <w:t>评审方法（最低价法）</w:t>
      </w:r>
      <w:bookmarkEnd w:id="119"/>
      <w:bookmarkEnd w:id="120"/>
      <w:bookmarkEnd w:id="121"/>
      <w:r>
        <w:rPr>
          <w:rFonts w:hint="eastAsia" w:ascii="宋体" w:hAnsi="宋体" w:cs="宋体"/>
          <w:color w:val="auto"/>
          <w:highlight w:val="none"/>
        </w:rPr>
        <w:t>（本项目不适用）</w:t>
      </w:r>
      <w:bookmarkEnd w:id="122"/>
      <w:bookmarkEnd w:id="123"/>
    </w:p>
    <w:p w14:paraId="0AF00633">
      <w:pPr>
        <w:pStyle w:val="51"/>
        <w:spacing w:line="360" w:lineRule="auto"/>
        <w:ind w:firstLine="460"/>
        <w:rPr>
          <w:rFonts w:cs="Times New Roman"/>
          <w:color w:val="auto"/>
          <w:highlight w:val="none"/>
        </w:rPr>
      </w:pPr>
      <w:r>
        <w:rPr>
          <w:rFonts w:hint="eastAsia"/>
          <w:color w:val="auto"/>
          <w:sz w:val="24"/>
          <w:szCs w:val="24"/>
          <w:highlight w:val="none"/>
        </w:rPr>
        <w:t>本次评审釆用最低价法。</w:t>
      </w:r>
      <w:r>
        <w:rPr>
          <w:rFonts w:hint="eastAsia"/>
          <w:color w:val="auto"/>
          <w:sz w:val="24"/>
          <w:szCs w:val="24"/>
          <w:highlight w:val="none"/>
          <w:lang w:val="en-US" w:eastAsia="zh-CN"/>
        </w:rPr>
        <w:t>评审</w:t>
      </w:r>
      <w:r>
        <w:rPr>
          <w:rFonts w:hint="eastAsia"/>
          <w:color w:val="auto"/>
          <w:sz w:val="24"/>
          <w:szCs w:val="24"/>
          <w:highlight w:val="none"/>
        </w:rPr>
        <w:t>小组对满足采购文件实质性要求的响应文件，按照本章第</w:t>
      </w:r>
      <w:r>
        <w:rPr>
          <w:color w:val="auto"/>
          <w:sz w:val="24"/>
          <w:szCs w:val="24"/>
          <w:highlight w:val="none"/>
          <w:lang w:val="en-US" w:eastAsia="zh-CN"/>
        </w:rPr>
        <w:t>2.2.2</w:t>
      </w:r>
      <w:r>
        <w:rPr>
          <w:rFonts w:hint="eastAsia"/>
          <w:color w:val="auto"/>
          <w:sz w:val="24"/>
          <w:szCs w:val="24"/>
          <w:highlight w:val="none"/>
        </w:rPr>
        <w:t>款规定的方法确定</w:t>
      </w:r>
      <w:r>
        <w:rPr>
          <w:rFonts w:hint="eastAsia"/>
          <w:color w:val="auto"/>
          <w:sz w:val="24"/>
          <w:szCs w:val="24"/>
          <w:highlight w:val="none"/>
          <w:lang w:eastAsia="zh-CN"/>
        </w:rPr>
        <w:t>询比响应人</w:t>
      </w:r>
      <w:r>
        <w:rPr>
          <w:rFonts w:hint="eastAsia"/>
          <w:color w:val="auto"/>
          <w:sz w:val="24"/>
          <w:szCs w:val="24"/>
          <w:highlight w:val="none"/>
        </w:rPr>
        <w:t>最终报价的评审价格，并按照评审价格由低到高的顺序推荐候选成交</w:t>
      </w:r>
      <w:r>
        <w:rPr>
          <w:rFonts w:hint="eastAsia"/>
          <w:color w:val="auto"/>
          <w:sz w:val="24"/>
          <w:szCs w:val="24"/>
          <w:highlight w:val="none"/>
          <w:lang w:eastAsia="zh-CN"/>
        </w:rPr>
        <w:t>询比响应人</w:t>
      </w:r>
      <w:r>
        <w:rPr>
          <w:rFonts w:hint="eastAsia"/>
          <w:color w:val="auto"/>
          <w:sz w:val="24"/>
          <w:szCs w:val="24"/>
          <w:highlight w:val="none"/>
        </w:rPr>
        <w:t>。</w:t>
      </w:r>
    </w:p>
    <w:p w14:paraId="09F76541">
      <w:pPr>
        <w:pStyle w:val="3"/>
        <w:jc w:val="center"/>
        <w:rPr>
          <w:rFonts w:ascii="宋体" w:cs="Times New Roman"/>
          <w:color w:val="auto"/>
          <w:highlight w:val="none"/>
        </w:rPr>
      </w:pPr>
      <w:bookmarkStart w:id="124" w:name="bookmark464"/>
      <w:bookmarkStart w:id="125" w:name="bookmark465"/>
      <w:bookmarkStart w:id="126" w:name="bookmark463"/>
      <w:bookmarkStart w:id="127" w:name="_Toc16887"/>
      <w:bookmarkStart w:id="128" w:name="_Toc20895"/>
      <w:r>
        <w:rPr>
          <w:rFonts w:ascii="宋体" w:hAnsi="宋体" w:cs="宋体"/>
          <w:color w:val="auto"/>
          <w:highlight w:val="none"/>
        </w:rPr>
        <w:t>1</w:t>
      </w:r>
      <w:r>
        <w:rPr>
          <w:rFonts w:hint="eastAsia" w:ascii="宋体" w:hAnsi="宋体" w:cs="宋体"/>
          <w:color w:val="auto"/>
          <w:highlight w:val="none"/>
        </w:rPr>
        <w:t>评审方法（综合评分法）</w:t>
      </w:r>
      <w:bookmarkEnd w:id="124"/>
      <w:bookmarkEnd w:id="125"/>
      <w:bookmarkEnd w:id="126"/>
      <w:bookmarkEnd w:id="127"/>
      <w:bookmarkEnd w:id="128"/>
    </w:p>
    <w:p w14:paraId="3B25AD50">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本次评审釆用综合评分法。评审小组对满足采购文件实质性要求的响应文件，按照本章第</w:t>
      </w:r>
      <w:r>
        <w:rPr>
          <w:rFonts w:ascii="宋体" w:hAnsi="宋体" w:cs="宋体"/>
          <w:color w:val="auto"/>
          <w:sz w:val="24"/>
          <w:szCs w:val="24"/>
          <w:highlight w:val="none"/>
        </w:rPr>
        <w:t>3</w:t>
      </w:r>
      <w:r>
        <w:rPr>
          <w:rFonts w:hint="eastAsia" w:ascii="宋体" w:hAnsi="宋体" w:cs="宋体"/>
          <w:color w:val="auto"/>
          <w:sz w:val="24"/>
          <w:szCs w:val="24"/>
          <w:highlight w:val="none"/>
        </w:rPr>
        <w:t>条规定的评分标准进行打分，并按得分由高到低的顺序推荐候选成交询比响应人。</w:t>
      </w:r>
    </w:p>
    <w:p w14:paraId="5A383A94">
      <w:pPr>
        <w:pStyle w:val="52"/>
        <w:spacing w:after="0" w:line="360" w:lineRule="auto"/>
        <w:ind w:firstLine="380"/>
        <w:rPr>
          <w:rFonts w:cs="Times New Roman"/>
          <w:color w:val="auto"/>
          <w:sz w:val="24"/>
          <w:szCs w:val="24"/>
          <w:highlight w:val="none"/>
        </w:rPr>
      </w:pPr>
      <w:r>
        <w:rPr>
          <w:rFonts w:hint="eastAsia"/>
          <w:color w:val="auto"/>
          <w:sz w:val="24"/>
          <w:szCs w:val="24"/>
          <w:highlight w:val="none"/>
        </w:rPr>
        <w:t>（注：上述</w:t>
      </w:r>
      <w:r>
        <w:rPr>
          <w:rFonts w:hint="eastAsia"/>
          <w:color w:val="auto"/>
          <w:sz w:val="24"/>
          <w:szCs w:val="24"/>
          <w:highlight w:val="none"/>
          <w:lang w:val="en-US" w:eastAsia="zh-CN"/>
        </w:rPr>
        <w:t>两</w:t>
      </w:r>
      <w:r>
        <w:rPr>
          <w:rFonts w:hint="eastAsia"/>
          <w:color w:val="auto"/>
          <w:sz w:val="24"/>
          <w:szCs w:val="24"/>
          <w:highlight w:val="none"/>
        </w:rPr>
        <w:t>种评审方法，釆购人应选择其中一种评审方法作为本项目的评审方法，并在评审办法前附表中载明。）</w:t>
      </w:r>
    </w:p>
    <w:p w14:paraId="62B77952">
      <w:pPr>
        <w:pStyle w:val="3"/>
        <w:rPr>
          <w:rFonts w:ascii="宋体" w:cs="Times New Roman"/>
          <w:color w:val="auto"/>
          <w:highlight w:val="none"/>
        </w:rPr>
      </w:pPr>
      <w:bookmarkStart w:id="129" w:name="bookmark469"/>
      <w:bookmarkStart w:id="130" w:name="_Toc14316"/>
      <w:bookmarkStart w:id="131" w:name="_Toc18390"/>
      <w:bookmarkStart w:id="132" w:name="bookmark470"/>
      <w:bookmarkStart w:id="133" w:name="bookmark471"/>
      <w:r>
        <w:rPr>
          <w:rFonts w:ascii="宋体" w:hAnsi="宋体" w:cs="宋体"/>
          <w:color w:val="auto"/>
          <w:highlight w:val="none"/>
        </w:rPr>
        <w:t>2</w:t>
      </w:r>
      <w:r>
        <w:rPr>
          <w:rFonts w:hint="eastAsia" w:ascii="宋体" w:hAnsi="宋体" w:cs="宋体"/>
          <w:color w:val="auto"/>
          <w:highlight w:val="none"/>
        </w:rPr>
        <w:t>初步评审标准和程序</w:t>
      </w:r>
      <w:bookmarkEnd w:id="129"/>
      <w:bookmarkEnd w:id="130"/>
      <w:bookmarkEnd w:id="131"/>
      <w:bookmarkEnd w:id="132"/>
      <w:bookmarkEnd w:id="133"/>
    </w:p>
    <w:p w14:paraId="59D7163F">
      <w:pPr>
        <w:pStyle w:val="47"/>
        <w:spacing w:line="360" w:lineRule="auto"/>
        <w:rPr>
          <w:rFonts w:cs="Times New Roman"/>
          <w:color w:val="auto"/>
          <w:sz w:val="24"/>
          <w:szCs w:val="24"/>
          <w:highlight w:val="none"/>
        </w:rPr>
      </w:pPr>
      <w:bookmarkStart w:id="134" w:name="bookmark472"/>
      <w:bookmarkStart w:id="135" w:name="bookmark474"/>
      <w:bookmarkStart w:id="136" w:name="bookmark473"/>
      <w:r>
        <w:rPr>
          <w:color w:val="auto"/>
          <w:sz w:val="24"/>
          <w:szCs w:val="24"/>
          <w:highlight w:val="none"/>
          <w:lang w:val="en-US" w:eastAsia="zh-CN"/>
        </w:rPr>
        <w:t>2.</w:t>
      </w:r>
      <w:r>
        <w:rPr>
          <w:color w:val="auto"/>
          <w:sz w:val="24"/>
          <w:szCs w:val="24"/>
          <w:highlight w:val="none"/>
        </w:rPr>
        <w:t>1</w:t>
      </w:r>
      <w:r>
        <w:rPr>
          <w:rFonts w:hint="eastAsia"/>
          <w:color w:val="auto"/>
          <w:sz w:val="24"/>
          <w:szCs w:val="24"/>
          <w:highlight w:val="none"/>
        </w:rPr>
        <w:t>初步评审标准</w:t>
      </w:r>
      <w:bookmarkEnd w:id="134"/>
      <w:bookmarkEnd w:id="135"/>
      <w:bookmarkEnd w:id="136"/>
    </w:p>
    <w:p w14:paraId="1331B1BB">
      <w:pPr>
        <w:pStyle w:val="51"/>
        <w:spacing w:line="360" w:lineRule="auto"/>
        <w:jc w:val="left"/>
        <w:rPr>
          <w:rFonts w:cs="Times New Roman"/>
          <w:color w:val="auto"/>
          <w:highlight w:val="none"/>
        </w:rPr>
      </w:pPr>
      <w:r>
        <w:rPr>
          <w:color w:val="auto"/>
          <w:sz w:val="24"/>
          <w:szCs w:val="24"/>
          <w:highlight w:val="none"/>
          <w:lang w:val="en-US" w:eastAsia="zh-CN"/>
        </w:rPr>
        <w:t>2.1.1</w:t>
      </w:r>
      <w:r>
        <w:rPr>
          <w:rFonts w:hint="eastAsia"/>
          <w:color w:val="auto"/>
          <w:sz w:val="24"/>
          <w:szCs w:val="24"/>
          <w:highlight w:val="none"/>
        </w:rPr>
        <w:t>形式评审标准：见评审办法前附表。</w:t>
      </w:r>
    </w:p>
    <w:p w14:paraId="26FD0E3E">
      <w:pPr>
        <w:pStyle w:val="51"/>
        <w:spacing w:line="360" w:lineRule="auto"/>
        <w:jc w:val="left"/>
        <w:rPr>
          <w:rFonts w:cs="Times New Roman"/>
          <w:color w:val="auto"/>
          <w:highlight w:val="none"/>
        </w:rPr>
      </w:pPr>
      <w:r>
        <w:rPr>
          <w:color w:val="auto"/>
          <w:sz w:val="24"/>
          <w:szCs w:val="24"/>
          <w:highlight w:val="none"/>
          <w:lang w:val="en-US" w:eastAsia="zh-CN"/>
        </w:rPr>
        <w:t>2.1.2</w:t>
      </w:r>
      <w:r>
        <w:rPr>
          <w:rFonts w:hint="eastAsia"/>
          <w:color w:val="auto"/>
          <w:sz w:val="24"/>
          <w:szCs w:val="24"/>
          <w:highlight w:val="none"/>
        </w:rPr>
        <w:t>资格评审标准：见评审办法前附表。</w:t>
      </w:r>
    </w:p>
    <w:p w14:paraId="0739B09E">
      <w:pPr>
        <w:pStyle w:val="51"/>
        <w:spacing w:line="360" w:lineRule="auto"/>
        <w:jc w:val="left"/>
        <w:rPr>
          <w:rFonts w:cs="Times New Roman"/>
          <w:color w:val="auto"/>
          <w:highlight w:val="none"/>
        </w:rPr>
      </w:pPr>
      <w:r>
        <w:rPr>
          <w:color w:val="auto"/>
          <w:sz w:val="24"/>
          <w:szCs w:val="24"/>
          <w:highlight w:val="none"/>
          <w:lang w:val="en-US" w:eastAsia="zh-CN"/>
        </w:rPr>
        <w:t>2.1.3</w:t>
      </w:r>
      <w:r>
        <w:rPr>
          <w:rFonts w:hint="eastAsia"/>
          <w:color w:val="auto"/>
          <w:sz w:val="24"/>
          <w:szCs w:val="24"/>
          <w:highlight w:val="none"/>
        </w:rPr>
        <w:t>响应性评审标准：见评审办法前附表。</w:t>
      </w:r>
    </w:p>
    <w:p w14:paraId="03CD7F59">
      <w:pPr>
        <w:pStyle w:val="47"/>
        <w:spacing w:line="360" w:lineRule="auto"/>
        <w:rPr>
          <w:rFonts w:cs="Times New Roman"/>
          <w:color w:val="auto"/>
          <w:sz w:val="24"/>
          <w:szCs w:val="24"/>
          <w:highlight w:val="none"/>
          <w:lang w:val="en-US" w:eastAsia="zh-CN"/>
        </w:rPr>
      </w:pPr>
      <w:bookmarkStart w:id="137" w:name="bookmark475"/>
      <w:bookmarkStart w:id="138" w:name="bookmark477"/>
      <w:bookmarkStart w:id="139" w:name="bookmark476"/>
      <w:r>
        <w:rPr>
          <w:color w:val="auto"/>
          <w:sz w:val="24"/>
          <w:szCs w:val="24"/>
          <w:highlight w:val="none"/>
          <w:lang w:val="en-US" w:eastAsia="zh-CN"/>
        </w:rPr>
        <w:t>2.2</w:t>
      </w:r>
      <w:r>
        <w:rPr>
          <w:rFonts w:hint="eastAsia"/>
          <w:color w:val="auto"/>
          <w:sz w:val="24"/>
          <w:szCs w:val="24"/>
          <w:highlight w:val="none"/>
          <w:lang w:val="en-US" w:eastAsia="zh-CN"/>
        </w:rPr>
        <w:t>初步评审程序</w:t>
      </w:r>
      <w:bookmarkEnd w:id="137"/>
      <w:bookmarkEnd w:id="138"/>
      <w:bookmarkEnd w:id="139"/>
    </w:p>
    <w:p w14:paraId="4D2F3B64">
      <w:pPr>
        <w:pStyle w:val="51"/>
        <w:tabs>
          <w:tab w:val="left" w:pos="354"/>
        </w:tabs>
        <w:spacing w:line="360" w:lineRule="auto"/>
        <w:rPr>
          <w:rFonts w:cs="Times New Roman"/>
          <w:color w:val="auto"/>
          <w:sz w:val="24"/>
          <w:szCs w:val="24"/>
          <w:highlight w:val="none"/>
        </w:rPr>
      </w:pPr>
      <w:bookmarkStart w:id="140" w:name="bookmark478"/>
      <w:bookmarkEnd w:id="140"/>
      <w:r>
        <w:rPr>
          <w:color w:val="auto"/>
          <w:sz w:val="24"/>
          <w:szCs w:val="24"/>
          <w:highlight w:val="none"/>
          <w:lang w:val="en-US" w:eastAsia="zh-CN"/>
        </w:rPr>
        <w:t xml:space="preserve">2.2. </w:t>
      </w:r>
      <w:r>
        <w:rPr>
          <w:color w:val="auto"/>
          <w:sz w:val="24"/>
          <w:szCs w:val="24"/>
          <w:highlight w:val="none"/>
        </w:rPr>
        <w:t>1</w:t>
      </w:r>
      <w:r>
        <w:rPr>
          <w:rFonts w:hint="eastAsia"/>
          <w:color w:val="auto"/>
          <w:sz w:val="24"/>
          <w:szCs w:val="24"/>
          <w:highlight w:val="none"/>
          <w:lang w:val="en-US" w:eastAsia="zh-CN"/>
        </w:rPr>
        <w:t>评审</w:t>
      </w:r>
      <w:r>
        <w:rPr>
          <w:rFonts w:hint="eastAsia"/>
          <w:color w:val="auto"/>
          <w:sz w:val="24"/>
          <w:szCs w:val="24"/>
          <w:highlight w:val="none"/>
        </w:rPr>
        <w:t>小组依据本章第</w:t>
      </w:r>
      <w:r>
        <w:rPr>
          <w:color w:val="auto"/>
          <w:sz w:val="24"/>
          <w:szCs w:val="24"/>
          <w:highlight w:val="none"/>
          <w:lang w:val="en-US" w:eastAsia="zh-CN"/>
        </w:rPr>
        <w:t xml:space="preserve">2. </w:t>
      </w:r>
      <w:r>
        <w:rPr>
          <w:color w:val="auto"/>
          <w:sz w:val="24"/>
          <w:szCs w:val="24"/>
          <w:highlight w:val="none"/>
        </w:rPr>
        <w:t>1</w:t>
      </w:r>
      <w:r>
        <w:rPr>
          <w:rFonts w:hint="eastAsia"/>
          <w:color w:val="auto"/>
          <w:sz w:val="24"/>
          <w:szCs w:val="24"/>
          <w:highlight w:val="none"/>
        </w:rPr>
        <w:t>款规定的标准对</w:t>
      </w:r>
      <w:r>
        <w:rPr>
          <w:rFonts w:hint="eastAsia"/>
          <w:color w:val="auto"/>
          <w:sz w:val="24"/>
          <w:szCs w:val="24"/>
          <w:highlight w:val="none"/>
          <w:lang w:eastAsia="zh-CN"/>
        </w:rPr>
        <w:t>询比响应人</w:t>
      </w:r>
      <w:r>
        <w:rPr>
          <w:rFonts w:hint="eastAsia"/>
          <w:color w:val="auto"/>
          <w:sz w:val="24"/>
          <w:szCs w:val="24"/>
          <w:highlight w:val="none"/>
        </w:rPr>
        <w:t>递交的响应文件进行初步评审，判断响应文件的形式是否符合要求、</w:t>
      </w:r>
      <w:r>
        <w:rPr>
          <w:rFonts w:hint="eastAsia"/>
          <w:color w:val="auto"/>
          <w:sz w:val="24"/>
          <w:szCs w:val="24"/>
          <w:highlight w:val="none"/>
          <w:lang w:eastAsia="zh-CN"/>
        </w:rPr>
        <w:t>询比响应人</w:t>
      </w:r>
      <w:r>
        <w:rPr>
          <w:rFonts w:hint="eastAsia"/>
          <w:color w:val="auto"/>
          <w:sz w:val="24"/>
          <w:szCs w:val="24"/>
          <w:highlight w:val="none"/>
        </w:rPr>
        <w:t>是否符合资格条件、响应文件是否实质性响应采购文件的要求。只有以上评审合格的响应文件才可通过初步评审。</w:t>
      </w:r>
    </w:p>
    <w:p w14:paraId="789F6586">
      <w:pPr>
        <w:pStyle w:val="51"/>
        <w:spacing w:line="360" w:lineRule="auto"/>
        <w:rPr>
          <w:rFonts w:cs="Times New Roman"/>
          <w:color w:val="auto"/>
          <w:sz w:val="24"/>
          <w:szCs w:val="24"/>
          <w:highlight w:val="none"/>
        </w:rPr>
      </w:pPr>
      <w:bookmarkStart w:id="141" w:name="bookmark479"/>
      <w:bookmarkEnd w:id="141"/>
      <w:r>
        <w:rPr>
          <w:color w:val="auto"/>
          <w:sz w:val="24"/>
          <w:szCs w:val="24"/>
          <w:highlight w:val="none"/>
          <w:lang w:val="en-US" w:eastAsia="zh-CN"/>
        </w:rPr>
        <w:t>2.2.2</w:t>
      </w:r>
      <w:r>
        <w:rPr>
          <w:rFonts w:hint="eastAsia"/>
          <w:color w:val="auto"/>
          <w:sz w:val="24"/>
          <w:szCs w:val="24"/>
          <w:highlight w:val="none"/>
        </w:rPr>
        <w:t>除评审办法前附表另有规定外，评审价格为</w:t>
      </w:r>
      <w:r>
        <w:rPr>
          <w:rFonts w:hint="eastAsia"/>
          <w:color w:val="auto"/>
          <w:sz w:val="24"/>
          <w:szCs w:val="24"/>
          <w:highlight w:val="none"/>
          <w:lang w:eastAsia="zh-CN"/>
        </w:rPr>
        <w:t>询比响应人</w:t>
      </w:r>
      <w:r>
        <w:rPr>
          <w:rFonts w:hint="eastAsia"/>
          <w:color w:val="auto"/>
          <w:sz w:val="24"/>
          <w:szCs w:val="24"/>
          <w:highlight w:val="none"/>
        </w:rPr>
        <w:t>在响应函中填报的大写含税价格。</w:t>
      </w:r>
    </w:p>
    <w:p w14:paraId="22154A01">
      <w:pPr>
        <w:pStyle w:val="51"/>
        <w:spacing w:line="360" w:lineRule="auto"/>
        <w:ind w:firstLine="480" w:firstLineChars="200"/>
        <w:rPr>
          <w:rFonts w:cs="Times New Roman"/>
          <w:color w:val="auto"/>
          <w:sz w:val="24"/>
          <w:szCs w:val="24"/>
          <w:highlight w:val="none"/>
        </w:rPr>
      </w:pPr>
      <w:r>
        <w:rPr>
          <w:rFonts w:hint="eastAsia"/>
          <w:color w:val="auto"/>
          <w:sz w:val="24"/>
          <w:szCs w:val="24"/>
          <w:highlight w:val="none"/>
        </w:rPr>
        <w:t>评审价格若超过最高限价</w:t>
      </w:r>
      <w:r>
        <w:rPr>
          <w:color w:val="auto"/>
          <w:sz w:val="24"/>
          <w:szCs w:val="24"/>
          <w:highlight w:val="none"/>
        </w:rPr>
        <w:t>(</w:t>
      </w:r>
      <w:r>
        <w:rPr>
          <w:rFonts w:hint="eastAsia"/>
          <w:color w:val="auto"/>
          <w:sz w:val="24"/>
          <w:szCs w:val="24"/>
          <w:highlight w:val="none"/>
        </w:rPr>
        <w:t>如有</w:t>
      </w:r>
      <w:r>
        <w:rPr>
          <w:color w:val="auto"/>
          <w:sz w:val="24"/>
          <w:szCs w:val="24"/>
          <w:highlight w:val="none"/>
        </w:rPr>
        <w:t>)</w:t>
      </w:r>
      <w:r>
        <w:rPr>
          <w:rFonts w:hint="eastAsia"/>
          <w:color w:val="auto"/>
          <w:sz w:val="24"/>
          <w:szCs w:val="24"/>
          <w:highlight w:val="none"/>
        </w:rPr>
        <w:t>，其响应文件将被视为无效。</w:t>
      </w:r>
    </w:p>
    <w:p w14:paraId="08B85B7C">
      <w:pPr>
        <w:pStyle w:val="51"/>
        <w:spacing w:line="360" w:lineRule="auto"/>
        <w:ind w:firstLine="480" w:firstLineChars="200"/>
        <w:rPr>
          <w:rFonts w:cs="Times New Roman"/>
          <w:color w:val="auto"/>
          <w:sz w:val="24"/>
          <w:szCs w:val="24"/>
          <w:highlight w:val="none"/>
        </w:rPr>
      </w:pPr>
      <w:r>
        <w:rPr>
          <w:rFonts w:hint="eastAsia"/>
          <w:color w:val="auto"/>
          <w:sz w:val="24"/>
          <w:szCs w:val="24"/>
          <w:highlight w:val="none"/>
        </w:rPr>
        <w:t>评审小组经过对</w:t>
      </w:r>
      <w:r>
        <w:rPr>
          <w:rFonts w:hint="eastAsia"/>
          <w:color w:val="auto"/>
          <w:sz w:val="24"/>
          <w:szCs w:val="24"/>
          <w:highlight w:val="none"/>
          <w:lang w:eastAsia="zh-CN"/>
        </w:rPr>
        <w:t>询比响应人</w:t>
      </w:r>
      <w:r>
        <w:rPr>
          <w:rFonts w:hint="eastAsia"/>
          <w:color w:val="auto"/>
          <w:sz w:val="24"/>
          <w:szCs w:val="24"/>
          <w:highlight w:val="none"/>
        </w:rPr>
        <w:t>的报价进行比较或基于专业经验认为某一</w:t>
      </w:r>
      <w:r>
        <w:rPr>
          <w:rFonts w:hint="eastAsia"/>
          <w:color w:val="auto"/>
          <w:sz w:val="24"/>
          <w:szCs w:val="24"/>
          <w:highlight w:val="none"/>
          <w:lang w:eastAsia="zh-CN"/>
        </w:rPr>
        <w:t>询比响应人</w:t>
      </w:r>
      <w:r>
        <w:rPr>
          <w:rFonts w:hint="eastAsia"/>
          <w:color w:val="auto"/>
          <w:sz w:val="24"/>
          <w:szCs w:val="24"/>
          <w:highlight w:val="none"/>
        </w:rPr>
        <w:t>的报价异常</w:t>
      </w:r>
      <w:r>
        <w:rPr>
          <w:color w:val="auto"/>
          <w:sz w:val="24"/>
          <w:szCs w:val="24"/>
          <w:highlight w:val="none"/>
        </w:rPr>
        <w:t xml:space="preserve"> </w:t>
      </w:r>
      <w:r>
        <w:rPr>
          <w:rFonts w:hint="eastAsia"/>
          <w:color w:val="auto"/>
          <w:sz w:val="24"/>
          <w:szCs w:val="24"/>
          <w:highlight w:val="none"/>
        </w:rPr>
        <w:t>过低，可能对其履约造成影响时，应当要求该</w:t>
      </w:r>
      <w:r>
        <w:rPr>
          <w:rFonts w:hint="eastAsia"/>
          <w:color w:val="auto"/>
          <w:sz w:val="24"/>
          <w:szCs w:val="24"/>
          <w:highlight w:val="none"/>
          <w:lang w:eastAsia="zh-CN"/>
        </w:rPr>
        <w:t>询比响应人</w:t>
      </w:r>
      <w:r>
        <w:rPr>
          <w:rFonts w:hint="eastAsia"/>
          <w:color w:val="auto"/>
          <w:sz w:val="24"/>
          <w:szCs w:val="24"/>
          <w:highlight w:val="none"/>
        </w:rPr>
        <w:t>作出书面说明并提供相应的证明材</w:t>
      </w:r>
      <w:r>
        <w:rPr>
          <w:color w:val="auto"/>
          <w:sz w:val="24"/>
          <w:szCs w:val="24"/>
          <w:highlight w:val="none"/>
        </w:rPr>
        <w:t xml:space="preserve"> </w:t>
      </w:r>
      <w:r>
        <w:rPr>
          <w:rFonts w:hint="eastAsia"/>
          <w:color w:val="auto"/>
          <w:sz w:val="24"/>
          <w:szCs w:val="24"/>
          <w:highlight w:val="none"/>
        </w:rPr>
        <w:t>料。</w:t>
      </w:r>
      <w:r>
        <w:rPr>
          <w:rFonts w:hint="eastAsia"/>
          <w:color w:val="auto"/>
          <w:sz w:val="24"/>
          <w:szCs w:val="24"/>
          <w:highlight w:val="none"/>
          <w:lang w:eastAsia="zh-CN"/>
        </w:rPr>
        <w:t>询比响应人</w:t>
      </w:r>
      <w:r>
        <w:rPr>
          <w:rFonts w:hint="eastAsia"/>
          <w:color w:val="auto"/>
          <w:sz w:val="24"/>
          <w:szCs w:val="24"/>
          <w:highlight w:val="none"/>
        </w:rPr>
        <w:t>不能合理说明或者不能提供相应证明材料的，其响应文件将被视为无效。</w:t>
      </w:r>
    </w:p>
    <w:p w14:paraId="4808F5FD">
      <w:pPr>
        <w:pStyle w:val="51"/>
        <w:spacing w:line="360" w:lineRule="auto"/>
        <w:rPr>
          <w:rFonts w:cs="Times New Roman"/>
          <w:color w:val="auto"/>
          <w:sz w:val="24"/>
          <w:szCs w:val="24"/>
          <w:highlight w:val="none"/>
        </w:rPr>
      </w:pPr>
      <w:r>
        <w:rPr>
          <w:color w:val="auto"/>
          <w:sz w:val="24"/>
          <w:szCs w:val="24"/>
          <w:highlight w:val="none"/>
          <w:lang w:val="en-US" w:eastAsia="zh-CN"/>
        </w:rPr>
        <w:t>2. 2.3</w:t>
      </w:r>
      <w:r>
        <w:rPr>
          <w:rFonts w:hint="eastAsia"/>
          <w:color w:val="auto"/>
          <w:sz w:val="24"/>
          <w:szCs w:val="24"/>
          <w:highlight w:val="none"/>
        </w:rPr>
        <w:t>响应文件中有含义不明确、同类问题表述不一致或有明显文字和计算错误的内</w:t>
      </w:r>
      <w:r>
        <w:rPr>
          <w:color w:val="auto"/>
          <w:sz w:val="24"/>
          <w:szCs w:val="24"/>
          <w:highlight w:val="none"/>
        </w:rPr>
        <w:t xml:space="preserve"> </w:t>
      </w:r>
      <w:r>
        <w:rPr>
          <w:rFonts w:hint="eastAsia"/>
          <w:color w:val="auto"/>
          <w:sz w:val="24"/>
          <w:szCs w:val="24"/>
          <w:highlight w:val="none"/>
        </w:rPr>
        <w:t>容，评审小组可要求</w:t>
      </w:r>
      <w:r>
        <w:rPr>
          <w:rFonts w:hint="eastAsia"/>
          <w:color w:val="auto"/>
          <w:sz w:val="24"/>
          <w:szCs w:val="24"/>
          <w:highlight w:val="none"/>
          <w:lang w:eastAsia="zh-CN"/>
        </w:rPr>
        <w:t>询比响应人</w:t>
      </w:r>
      <w:r>
        <w:rPr>
          <w:rFonts w:hint="eastAsia"/>
          <w:color w:val="auto"/>
          <w:sz w:val="24"/>
          <w:szCs w:val="24"/>
          <w:highlight w:val="none"/>
        </w:rPr>
        <w:t>在规定时间内进行澄清、说明和补正。</w:t>
      </w:r>
      <w:r>
        <w:rPr>
          <w:rFonts w:hint="eastAsia"/>
          <w:color w:val="auto"/>
          <w:sz w:val="24"/>
          <w:szCs w:val="24"/>
          <w:highlight w:val="none"/>
          <w:lang w:eastAsia="zh-CN"/>
        </w:rPr>
        <w:t>询比响应人</w:t>
      </w:r>
      <w:r>
        <w:rPr>
          <w:rFonts w:hint="eastAsia"/>
          <w:color w:val="auto"/>
          <w:sz w:val="24"/>
          <w:szCs w:val="24"/>
          <w:highlight w:val="none"/>
        </w:rPr>
        <w:t>澄清、说明</w:t>
      </w:r>
      <w:r>
        <w:rPr>
          <w:color w:val="auto"/>
          <w:sz w:val="24"/>
          <w:szCs w:val="24"/>
          <w:highlight w:val="none"/>
        </w:rPr>
        <w:t xml:space="preserve"> </w:t>
      </w:r>
      <w:r>
        <w:rPr>
          <w:rFonts w:hint="eastAsia"/>
          <w:color w:val="auto"/>
          <w:sz w:val="24"/>
          <w:szCs w:val="24"/>
          <w:highlight w:val="none"/>
        </w:rPr>
        <w:t>和补正的内容应由法定代表人</w:t>
      </w:r>
      <w:r>
        <w:rPr>
          <w:color w:val="auto"/>
          <w:sz w:val="24"/>
          <w:szCs w:val="24"/>
          <w:highlight w:val="none"/>
        </w:rPr>
        <w:t>(</w:t>
      </w:r>
      <w:r>
        <w:rPr>
          <w:rFonts w:hint="eastAsia"/>
          <w:color w:val="auto"/>
          <w:sz w:val="24"/>
          <w:szCs w:val="24"/>
          <w:highlight w:val="none"/>
        </w:rPr>
        <w:t>单位负责人</w:t>
      </w:r>
      <w:r>
        <w:rPr>
          <w:color w:val="auto"/>
          <w:sz w:val="24"/>
          <w:szCs w:val="24"/>
          <w:highlight w:val="none"/>
        </w:rPr>
        <w:t>)</w:t>
      </w:r>
      <w:r>
        <w:rPr>
          <w:rFonts w:hint="eastAsia"/>
          <w:color w:val="auto"/>
          <w:sz w:val="24"/>
          <w:szCs w:val="24"/>
          <w:highlight w:val="none"/>
        </w:rPr>
        <w:t>或其授权的代理人签字或加盖单位章。</w:t>
      </w:r>
      <w:r>
        <w:rPr>
          <w:color w:val="auto"/>
          <w:sz w:val="24"/>
          <w:szCs w:val="24"/>
          <w:highlight w:val="none"/>
        </w:rPr>
        <w:t xml:space="preserve"> </w:t>
      </w:r>
      <w:r>
        <w:rPr>
          <w:rFonts w:hint="eastAsia"/>
          <w:color w:val="auto"/>
          <w:sz w:val="24"/>
          <w:szCs w:val="24"/>
          <w:highlight w:val="none"/>
        </w:rPr>
        <w:t>澄清、说明和补正不得超出响应文件的范围且不得改变响应文件的实质性内容，并构</w:t>
      </w:r>
      <w:r>
        <w:rPr>
          <w:color w:val="auto"/>
          <w:sz w:val="24"/>
          <w:szCs w:val="24"/>
          <w:highlight w:val="none"/>
        </w:rPr>
        <w:t xml:space="preserve"> </w:t>
      </w:r>
      <w:r>
        <w:rPr>
          <w:rFonts w:hint="eastAsia"/>
          <w:color w:val="auto"/>
          <w:sz w:val="24"/>
          <w:szCs w:val="24"/>
          <w:highlight w:val="none"/>
        </w:rPr>
        <w:t>成响应文件的组成部分。</w:t>
      </w:r>
    </w:p>
    <w:p w14:paraId="3D44889B">
      <w:pPr>
        <w:pStyle w:val="51"/>
        <w:spacing w:line="360" w:lineRule="auto"/>
        <w:ind w:firstLine="480" w:firstLineChars="200"/>
        <w:rPr>
          <w:rFonts w:cs="Times New Roman"/>
          <w:color w:val="auto"/>
          <w:sz w:val="24"/>
          <w:szCs w:val="24"/>
          <w:highlight w:val="none"/>
        </w:rPr>
      </w:pPr>
      <w:r>
        <w:rPr>
          <w:rFonts w:hint="eastAsia"/>
          <w:color w:val="auto"/>
          <w:sz w:val="24"/>
          <w:szCs w:val="24"/>
          <w:highlight w:val="none"/>
        </w:rPr>
        <w:t>响应报价有算术错误及其他错误的，评审小组按以下原则要求</w:t>
      </w:r>
      <w:r>
        <w:rPr>
          <w:rFonts w:hint="eastAsia"/>
          <w:color w:val="auto"/>
          <w:sz w:val="24"/>
          <w:szCs w:val="24"/>
          <w:highlight w:val="none"/>
          <w:lang w:eastAsia="zh-CN"/>
        </w:rPr>
        <w:t>询比响应人</w:t>
      </w:r>
      <w:r>
        <w:rPr>
          <w:rFonts w:hint="eastAsia"/>
          <w:color w:val="auto"/>
          <w:sz w:val="24"/>
          <w:szCs w:val="24"/>
          <w:highlight w:val="none"/>
        </w:rPr>
        <w:t>对响应报价</w:t>
      </w:r>
      <w:r>
        <w:rPr>
          <w:color w:val="auto"/>
          <w:sz w:val="24"/>
          <w:szCs w:val="24"/>
          <w:highlight w:val="none"/>
        </w:rPr>
        <w:t xml:space="preserve"> </w:t>
      </w:r>
      <w:r>
        <w:rPr>
          <w:rFonts w:hint="eastAsia"/>
          <w:color w:val="auto"/>
          <w:sz w:val="24"/>
          <w:szCs w:val="24"/>
          <w:highlight w:val="none"/>
        </w:rPr>
        <w:t>进行修正，并要求</w:t>
      </w:r>
      <w:r>
        <w:rPr>
          <w:rFonts w:hint="eastAsia"/>
          <w:color w:val="auto"/>
          <w:sz w:val="24"/>
          <w:szCs w:val="24"/>
          <w:highlight w:val="none"/>
          <w:lang w:eastAsia="zh-CN"/>
        </w:rPr>
        <w:t>询比响应人</w:t>
      </w:r>
      <w:r>
        <w:rPr>
          <w:rFonts w:hint="eastAsia"/>
          <w:color w:val="auto"/>
          <w:sz w:val="24"/>
          <w:szCs w:val="24"/>
          <w:highlight w:val="none"/>
        </w:rPr>
        <w:t>书面澄清确认。</w:t>
      </w:r>
      <w:r>
        <w:rPr>
          <w:rFonts w:hint="eastAsia"/>
          <w:color w:val="auto"/>
          <w:sz w:val="24"/>
          <w:szCs w:val="24"/>
          <w:highlight w:val="none"/>
          <w:lang w:eastAsia="zh-CN"/>
        </w:rPr>
        <w:t>询比响应人</w:t>
      </w:r>
      <w:r>
        <w:rPr>
          <w:rFonts w:hint="eastAsia"/>
          <w:color w:val="auto"/>
          <w:sz w:val="24"/>
          <w:szCs w:val="24"/>
          <w:highlight w:val="none"/>
        </w:rPr>
        <w:t>拒不澄清确认的，其响应文件将被视为无效：</w:t>
      </w:r>
    </w:p>
    <w:p w14:paraId="57ED82E6">
      <w:pPr>
        <w:pStyle w:val="51"/>
        <w:tabs>
          <w:tab w:val="left" w:pos="1226"/>
        </w:tabs>
        <w:spacing w:line="360" w:lineRule="auto"/>
        <w:ind w:firstLine="480" w:firstLineChars="200"/>
        <w:rPr>
          <w:rFonts w:cs="Times New Roman"/>
          <w:color w:val="auto"/>
          <w:sz w:val="24"/>
          <w:szCs w:val="24"/>
          <w:highlight w:val="none"/>
        </w:rPr>
      </w:pPr>
      <w:bookmarkStart w:id="142" w:name="bookmark1094"/>
      <w:bookmarkEnd w:id="142"/>
      <w:r>
        <w:rPr>
          <w:color w:val="auto"/>
          <w:sz w:val="24"/>
          <w:szCs w:val="24"/>
          <w:highlight w:val="none"/>
          <w:lang w:val="en-US" w:eastAsia="zh-CN"/>
        </w:rPr>
        <w:t>(1)</w:t>
      </w:r>
      <w:r>
        <w:rPr>
          <w:rFonts w:hint="eastAsia"/>
          <w:color w:val="auto"/>
          <w:sz w:val="24"/>
          <w:szCs w:val="24"/>
          <w:highlight w:val="none"/>
        </w:rPr>
        <w:t>大写金额与小写金额不一致的，以大写金额为准；</w:t>
      </w:r>
    </w:p>
    <w:p w14:paraId="00E56356">
      <w:pPr>
        <w:pStyle w:val="51"/>
        <w:tabs>
          <w:tab w:val="left" w:pos="1250"/>
        </w:tabs>
        <w:spacing w:line="360" w:lineRule="auto"/>
        <w:ind w:firstLine="480" w:firstLineChars="200"/>
        <w:rPr>
          <w:rFonts w:cs="Times New Roman"/>
          <w:color w:val="auto"/>
          <w:sz w:val="24"/>
          <w:szCs w:val="24"/>
          <w:highlight w:val="none"/>
        </w:rPr>
      </w:pPr>
      <w:bookmarkStart w:id="143" w:name="bookmark1095"/>
      <w:bookmarkEnd w:id="143"/>
      <w:r>
        <w:rPr>
          <w:color w:val="auto"/>
          <w:sz w:val="24"/>
          <w:szCs w:val="24"/>
          <w:highlight w:val="none"/>
          <w:lang w:val="en-US" w:eastAsia="zh-CN"/>
        </w:rPr>
        <w:t>(2)</w:t>
      </w:r>
      <w:r>
        <w:rPr>
          <w:rFonts w:hint="eastAsia"/>
          <w:color w:val="auto"/>
          <w:sz w:val="24"/>
          <w:szCs w:val="24"/>
          <w:highlight w:val="none"/>
        </w:rPr>
        <w:t>总价金额与单价金额不一致的，以单价金额为准，但单价金额小数点有明显</w:t>
      </w:r>
      <w:r>
        <w:rPr>
          <w:color w:val="auto"/>
          <w:sz w:val="24"/>
          <w:szCs w:val="24"/>
          <w:highlight w:val="none"/>
        </w:rPr>
        <w:t xml:space="preserve"> </w:t>
      </w:r>
      <w:r>
        <w:rPr>
          <w:rFonts w:hint="eastAsia"/>
          <w:color w:val="auto"/>
          <w:sz w:val="24"/>
          <w:szCs w:val="24"/>
          <w:highlight w:val="none"/>
        </w:rPr>
        <w:t>错误的除外；</w:t>
      </w:r>
    </w:p>
    <w:p w14:paraId="6C45EDFA">
      <w:pPr>
        <w:pStyle w:val="51"/>
        <w:tabs>
          <w:tab w:val="left" w:pos="1226"/>
        </w:tabs>
        <w:spacing w:line="360" w:lineRule="auto"/>
        <w:ind w:firstLine="480" w:firstLineChars="200"/>
        <w:jc w:val="left"/>
        <w:rPr>
          <w:rFonts w:cs="Times New Roman"/>
          <w:color w:val="auto"/>
          <w:sz w:val="24"/>
          <w:szCs w:val="24"/>
          <w:highlight w:val="none"/>
        </w:rPr>
      </w:pPr>
      <w:bookmarkStart w:id="144" w:name="bookmark1096"/>
      <w:bookmarkEnd w:id="144"/>
      <w:r>
        <w:rPr>
          <w:color w:val="auto"/>
          <w:sz w:val="24"/>
          <w:szCs w:val="24"/>
          <w:highlight w:val="none"/>
          <w:lang w:val="en-US" w:eastAsia="zh-CN"/>
        </w:rPr>
        <w:t>(3)</w:t>
      </w:r>
      <w:r>
        <w:rPr>
          <w:rFonts w:hint="eastAsia"/>
          <w:color w:val="auto"/>
          <w:sz w:val="24"/>
          <w:szCs w:val="24"/>
          <w:highlight w:val="none"/>
        </w:rPr>
        <w:t>报价表合计报价与分项报价的合计不一致的，以各分项报价的合价累计数为准；</w:t>
      </w:r>
    </w:p>
    <w:p w14:paraId="470A7133">
      <w:pPr>
        <w:pStyle w:val="51"/>
        <w:tabs>
          <w:tab w:val="left" w:pos="1246"/>
        </w:tabs>
        <w:spacing w:line="360" w:lineRule="auto"/>
        <w:ind w:firstLine="480" w:firstLineChars="200"/>
        <w:rPr>
          <w:rFonts w:cs="Times New Roman"/>
          <w:color w:val="auto"/>
          <w:sz w:val="24"/>
          <w:szCs w:val="24"/>
          <w:highlight w:val="none"/>
        </w:rPr>
      </w:pPr>
      <w:bookmarkStart w:id="145" w:name="bookmark1097"/>
      <w:bookmarkEnd w:id="145"/>
      <w:r>
        <w:rPr>
          <w:color w:val="auto"/>
          <w:sz w:val="24"/>
          <w:szCs w:val="24"/>
          <w:highlight w:val="none"/>
          <w:lang w:val="en-US" w:eastAsia="zh-CN"/>
        </w:rPr>
        <w:t>(4)</w:t>
      </w:r>
      <w:r>
        <w:rPr>
          <w:rFonts w:hint="eastAsia"/>
          <w:color w:val="auto"/>
          <w:sz w:val="24"/>
          <w:szCs w:val="24"/>
          <w:highlight w:val="none"/>
        </w:rPr>
        <w:t>如果分项报价中存在缺漏项，且缺漏项内容不属于实质性偏差的，则视为缺漏项内容的价格已包含在其他分项报价之中。</w:t>
      </w:r>
    </w:p>
    <w:p w14:paraId="6E712B52">
      <w:pPr>
        <w:pStyle w:val="51"/>
        <w:spacing w:line="360" w:lineRule="auto"/>
        <w:ind w:firstLine="480" w:firstLineChars="200"/>
        <w:rPr>
          <w:rFonts w:cs="Times New Roman"/>
          <w:color w:val="auto"/>
          <w:sz w:val="24"/>
          <w:szCs w:val="24"/>
          <w:highlight w:val="none"/>
        </w:rPr>
      </w:pPr>
      <w:r>
        <w:rPr>
          <w:rFonts w:hint="eastAsia"/>
          <w:color w:val="auto"/>
          <w:sz w:val="24"/>
          <w:szCs w:val="24"/>
          <w:highlight w:val="none"/>
        </w:rPr>
        <w:t>响应报价的算术错误修正不改变评审依据的响应总报价。当修正后的总报价高于原响应报价时，视同</w:t>
      </w:r>
      <w:r>
        <w:rPr>
          <w:rFonts w:hint="eastAsia"/>
          <w:color w:val="auto"/>
          <w:sz w:val="24"/>
          <w:szCs w:val="24"/>
          <w:highlight w:val="none"/>
          <w:lang w:eastAsia="zh-CN"/>
        </w:rPr>
        <w:t>询比响应人</w:t>
      </w:r>
      <w:r>
        <w:rPr>
          <w:rFonts w:hint="eastAsia"/>
          <w:color w:val="auto"/>
          <w:sz w:val="24"/>
          <w:szCs w:val="24"/>
          <w:highlight w:val="none"/>
        </w:rPr>
        <w:t>响应报价错误产生少漏计费用，签订合同时由</w:t>
      </w:r>
      <w:r>
        <w:rPr>
          <w:rFonts w:hint="eastAsia"/>
          <w:color w:val="auto"/>
          <w:sz w:val="24"/>
          <w:szCs w:val="24"/>
          <w:highlight w:val="none"/>
          <w:lang w:eastAsia="zh-CN"/>
        </w:rPr>
        <w:t>询比响应人</w:t>
      </w:r>
      <w:r>
        <w:rPr>
          <w:rFonts w:hint="eastAsia"/>
          <w:color w:val="auto"/>
          <w:sz w:val="24"/>
          <w:szCs w:val="24"/>
          <w:highlight w:val="none"/>
        </w:rPr>
        <w:t>承担</w:t>
      </w:r>
      <w:r>
        <w:rPr>
          <w:color w:val="auto"/>
          <w:sz w:val="24"/>
          <w:szCs w:val="24"/>
          <w:highlight w:val="none"/>
        </w:rPr>
        <w:t xml:space="preserve">, </w:t>
      </w:r>
      <w:r>
        <w:rPr>
          <w:rFonts w:hint="eastAsia"/>
          <w:color w:val="auto"/>
          <w:sz w:val="24"/>
          <w:szCs w:val="24"/>
          <w:highlight w:val="none"/>
        </w:rPr>
        <w:t>如评审小组认为</w:t>
      </w:r>
      <w:r>
        <w:rPr>
          <w:rFonts w:hint="eastAsia"/>
          <w:color w:val="auto"/>
          <w:sz w:val="24"/>
          <w:szCs w:val="24"/>
          <w:highlight w:val="none"/>
          <w:lang w:eastAsia="zh-CN"/>
        </w:rPr>
        <w:t>询比响应人</w:t>
      </w:r>
      <w:r>
        <w:rPr>
          <w:rFonts w:hint="eastAsia"/>
          <w:color w:val="auto"/>
          <w:sz w:val="24"/>
          <w:szCs w:val="24"/>
          <w:highlight w:val="none"/>
        </w:rPr>
        <w:t>无法承受少漏计费用，可以将响应报价作为异常低价处理；当修正后的总报价低于原响应报价时，签订合同时以修正后的报价为准。</w:t>
      </w:r>
    </w:p>
    <w:p w14:paraId="1CA2ECB6">
      <w:pPr>
        <w:pStyle w:val="51"/>
        <w:spacing w:line="360" w:lineRule="auto"/>
        <w:jc w:val="left"/>
        <w:rPr>
          <w:rFonts w:cs="Times New Roman"/>
          <w:color w:val="auto"/>
          <w:sz w:val="24"/>
          <w:szCs w:val="24"/>
          <w:highlight w:val="none"/>
        </w:rPr>
      </w:pPr>
      <w:r>
        <w:rPr>
          <w:color w:val="auto"/>
          <w:sz w:val="24"/>
          <w:szCs w:val="24"/>
          <w:highlight w:val="none"/>
          <w:lang w:val="en-US" w:eastAsia="zh-CN"/>
        </w:rPr>
        <w:t>2. 2.4</w:t>
      </w:r>
      <w:r>
        <w:rPr>
          <w:rFonts w:hint="eastAsia"/>
          <w:color w:val="auto"/>
          <w:sz w:val="24"/>
          <w:szCs w:val="24"/>
          <w:highlight w:val="none"/>
          <w:lang w:eastAsia="zh-CN"/>
        </w:rPr>
        <w:t>询比响应人</w:t>
      </w:r>
      <w:r>
        <w:rPr>
          <w:rFonts w:hint="eastAsia"/>
          <w:color w:val="auto"/>
          <w:sz w:val="24"/>
          <w:szCs w:val="24"/>
          <w:highlight w:val="none"/>
        </w:rPr>
        <w:t>有串通、弄虚作假、行贿等违法行为的，其响应文件将被视为无效。</w:t>
      </w:r>
    </w:p>
    <w:p w14:paraId="52A46152">
      <w:pPr>
        <w:pStyle w:val="51"/>
        <w:spacing w:line="360" w:lineRule="auto"/>
        <w:jc w:val="left"/>
        <w:rPr>
          <w:rFonts w:cs="Times New Roman"/>
          <w:color w:val="auto"/>
          <w:sz w:val="24"/>
          <w:szCs w:val="24"/>
          <w:highlight w:val="none"/>
        </w:rPr>
      </w:pPr>
      <w:r>
        <w:rPr>
          <w:color w:val="auto"/>
          <w:sz w:val="24"/>
          <w:szCs w:val="24"/>
          <w:highlight w:val="none"/>
          <w:lang w:val="en-US" w:eastAsia="zh-CN"/>
        </w:rPr>
        <w:t>2. 2.5</w:t>
      </w:r>
      <w:r>
        <w:rPr>
          <w:rFonts w:hint="eastAsia"/>
          <w:color w:val="auto"/>
          <w:sz w:val="24"/>
          <w:szCs w:val="24"/>
          <w:highlight w:val="none"/>
        </w:rPr>
        <w:t>特殊情形处理</w:t>
      </w:r>
    </w:p>
    <w:p w14:paraId="65460803">
      <w:pPr>
        <w:pStyle w:val="51"/>
        <w:spacing w:line="360" w:lineRule="auto"/>
        <w:ind w:firstLine="480" w:firstLineChars="200"/>
        <w:rPr>
          <w:rFonts w:cs="Times New Roman"/>
          <w:color w:val="auto"/>
          <w:sz w:val="24"/>
          <w:szCs w:val="24"/>
          <w:highlight w:val="none"/>
        </w:rPr>
      </w:pPr>
      <w:r>
        <w:rPr>
          <w:rFonts w:hint="eastAsia"/>
          <w:color w:val="auto"/>
          <w:sz w:val="24"/>
          <w:szCs w:val="24"/>
          <w:highlight w:val="none"/>
        </w:rPr>
        <w:t>初步评审后，如评审小组认为所有响应文件均无效，或者所有响应报价竞争性不足，高于市场预期价格，评审小组应当终止评审，或经</w:t>
      </w:r>
      <w:r>
        <w:rPr>
          <w:rFonts w:hint="eastAsia"/>
          <w:color w:val="auto"/>
          <w:highlight w:val="none"/>
          <w:lang w:val="en-US" w:eastAsia="zh-CN"/>
        </w:rPr>
        <w:t>采购人</w:t>
      </w:r>
      <w:r>
        <w:rPr>
          <w:rFonts w:hint="eastAsia"/>
          <w:color w:val="auto"/>
          <w:sz w:val="24"/>
          <w:szCs w:val="24"/>
          <w:highlight w:val="none"/>
        </w:rPr>
        <w:t>同意，直接转换选择其他采购方式，与原</w:t>
      </w:r>
      <w:r>
        <w:rPr>
          <w:rFonts w:hint="eastAsia"/>
          <w:color w:val="auto"/>
          <w:sz w:val="24"/>
          <w:szCs w:val="24"/>
          <w:highlight w:val="none"/>
          <w:lang w:eastAsia="zh-CN"/>
        </w:rPr>
        <w:t>询比响应人</w:t>
      </w:r>
      <w:r>
        <w:rPr>
          <w:rFonts w:hint="eastAsia"/>
          <w:color w:val="auto"/>
          <w:sz w:val="24"/>
          <w:szCs w:val="24"/>
          <w:highlight w:val="none"/>
        </w:rPr>
        <w:t>共同完成后续采购程序。</w:t>
      </w:r>
    </w:p>
    <w:p w14:paraId="199277AC">
      <w:pPr>
        <w:pStyle w:val="51"/>
        <w:spacing w:line="360" w:lineRule="auto"/>
        <w:ind w:firstLine="480" w:firstLineChars="200"/>
        <w:rPr>
          <w:rFonts w:cs="Times New Roman"/>
          <w:color w:val="auto"/>
          <w:sz w:val="24"/>
          <w:szCs w:val="24"/>
          <w:highlight w:val="none"/>
        </w:rPr>
      </w:pPr>
      <w:r>
        <w:rPr>
          <w:rFonts w:hint="eastAsia"/>
          <w:color w:val="auto"/>
          <w:sz w:val="24"/>
          <w:szCs w:val="24"/>
          <w:highlight w:val="none"/>
        </w:rPr>
        <w:t>选择直接转换釆购方式采购的，评审小组按照本章第</w:t>
      </w:r>
      <w:r>
        <w:rPr>
          <w:color w:val="auto"/>
          <w:sz w:val="24"/>
          <w:szCs w:val="24"/>
          <w:highlight w:val="none"/>
        </w:rPr>
        <w:t>5</w:t>
      </w:r>
      <w:r>
        <w:rPr>
          <w:rFonts w:hint="eastAsia"/>
          <w:color w:val="auto"/>
          <w:sz w:val="24"/>
          <w:szCs w:val="24"/>
          <w:highlight w:val="none"/>
        </w:rPr>
        <w:t>条</w:t>
      </w:r>
      <w:r>
        <w:rPr>
          <w:rFonts w:hint="eastAsia"/>
          <w:color w:val="auto"/>
          <w:sz w:val="24"/>
          <w:szCs w:val="24"/>
          <w:highlight w:val="none"/>
          <w:lang w:val="zh-CN" w:eastAsia="zh-CN"/>
        </w:rPr>
        <w:t>“直</w:t>
      </w:r>
      <w:r>
        <w:rPr>
          <w:rFonts w:hint="eastAsia"/>
          <w:color w:val="auto"/>
          <w:sz w:val="24"/>
          <w:szCs w:val="24"/>
          <w:highlight w:val="none"/>
        </w:rPr>
        <w:t>接转换采购方式评审程序”重新评审。除了</w:t>
      </w:r>
      <w:r>
        <w:rPr>
          <w:rFonts w:hint="eastAsia"/>
          <w:color w:val="auto"/>
          <w:highlight w:val="none"/>
          <w:lang w:val="en-US" w:eastAsia="zh-CN"/>
        </w:rPr>
        <w:t>采购人</w:t>
      </w:r>
      <w:r>
        <w:rPr>
          <w:rFonts w:hint="eastAsia"/>
          <w:color w:val="auto"/>
          <w:sz w:val="24"/>
          <w:szCs w:val="24"/>
          <w:highlight w:val="none"/>
        </w:rPr>
        <w:t>与</w:t>
      </w:r>
      <w:r>
        <w:rPr>
          <w:rFonts w:hint="eastAsia"/>
          <w:color w:val="auto"/>
          <w:sz w:val="24"/>
          <w:szCs w:val="24"/>
          <w:highlight w:val="none"/>
          <w:lang w:eastAsia="zh-CN"/>
        </w:rPr>
        <w:t>询比响应人</w:t>
      </w:r>
      <w:r>
        <w:rPr>
          <w:rFonts w:hint="eastAsia"/>
          <w:color w:val="auto"/>
          <w:sz w:val="24"/>
          <w:szCs w:val="24"/>
          <w:highlight w:val="none"/>
        </w:rPr>
        <w:t>双方提出修改补充并接受新的条件和要求外</w:t>
      </w:r>
      <w:r>
        <w:rPr>
          <w:color w:val="auto"/>
          <w:sz w:val="24"/>
          <w:szCs w:val="24"/>
          <w:highlight w:val="none"/>
        </w:rPr>
        <w:t xml:space="preserve">, </w:t>
      </w:r>
      <w:r>
        <w:rPr>
          <w:rFonts w:hint="eastAsia"/>
          <w:color w:val="auto"/>
          <w:sz w:val="24"/>
          <w:szCs w:val="24"/>
          <w:highlight w:val="none"/>
        </w:rPr>
        <w:t>原采购文件与原响应文件对</w:t>
      </w:r>
      <w:r>
        <w:rPr>
          <w:rFonts w:hint="eastAsia"/>
          <w:color w:val="auto"/>
          <w:highlight w:val="none"/>
          <w:lang w:val="en-US" w:eastAsia="zh-CN"/>
        </w:rPr>
        <w:t>采购人</w:t>
      </w:r>
      <w:r>
        <w:rPr>
          <w:rFonts w:hint="eastAsia"/>
          <w:color w:val="auto"/>
          <w:sz w:val="24"/>
          <w:szCs w:val="24"/>
          <w:highlight w:val="none"/>
        </w:rPr>
        <w:t>和</w:t>
      </w:r>
      <w:r>
        <w:rPr>
          <w:rFonts w:hint="eastAsia"/>
          <w:color w:val="auto"/>
          <w:sz w:val="24"/>
          <w:szCs w:val="24"/>
          <w:highlight w:val="none"/>
          <w:lang w:eastAsia="zh-CN"/>
        </w:rPr>
        <w:t>询比响应人</w:t>
      </w:r>
      <w:r>
        <w:rPr>
          <w:rFonts w:hint="eastAsia"/>
          <w:color w:val="auto"/>
          <w:sz w:val="24"/>
          <w:szCs w:val="24"/>
          <w:highlight w:val="none"/>
        </w:rPr>
        <w:t>仍然具有相应约束力。</w:t>
      </w:r>
    </w:p>
    <w:p w14:paraId="11210419">
      <w:pPr>
        <w:pStyle w:val="3"/>
        <w:rPr>
          <w:rFonts w:ascii="宋体" w:cs="Times New Roman"/>
          <w:color w:val="auto"/>
          <w:highlight w:val="none"/>
        </w:rPr>
      </w:pPr>
      <w:bookmarkStart w:id="146" w:name="_Toc17610"/>
      <w:bookmarkStart w:id="147" w:name="bookmark1099"/>
      <w:bookmarkStart w:id="148" w:name="bookmark1098"/>
      <w:bookmarkStart w:id="149" w:name="_Toc6873"/>
      <w:bookmarkStart w:id="150" w:name="bookmark1100"/>
      <w:r>
        <w:rPr>
          <w:rFonts w:ascii="宋体" w:hAnsi="宋体" w:cs="宋体"/>
          <w:color w:val="auto"/>
          <w:highlight w:val="none"/>
        </w:rPr>
        <w:t>3</w:t>
      </w:r>
      <w:r>
        <w:rPr>
          <w:rFonts w:hint="eastAsia" w:ascii="宋体" w:hAnsi="宋体" w:cs="宋体"/>
          <w:color w:val="auto"/>
          <w:highlight w:val="none"/>
        </w:rPr>
        <w:t>详细评审标准和程序</w:t>
      </w:r>
      <w:r>
        <w:rPr>
          <w:rFonts w:ascii="宋体" w:hAnsi="宋体" w:cs="宋体"/>
          <w:color w:val="auto"/>
          <w:highlight w:val="none"/>
        </w:rPr>
        <w:t>(</w:t>
      </w:r>
      <w:r>
        <w:rPr>
          <w:rFonts w:hint="eastAsia" w:ascii="宋体" w:hAnsi="宋体" w:cs="宋体"/>
          <w:color w:val="auto"/>
          <w:highlight w:val="none"/>
        </w:rPr>
        <w:t>最低价法</w:t>
      </w:r>
      <w:r>
        <w:rPr>
          <w:rFonts w:ascii="宋体" w:hAnsi="宋体" w:cs="宋体"/>
          <w:color w:val="auto"/>
          <w:highlight w:val="none"/>
        </w:rPr>
        <w:t>)</w:t>
      </w:r>
      <w:bookmarkEnd w:id="146"/>
      <w:bookmarkEnd w:id="147"/>
      <w:bookmarkEnd w:id="148"/>
      <w:bookmarkEnd w:id="149"/>
      <w:bookmarkEnd w:id="150"/>
    </w:p>
    <w:p w14:paraId="4918A349">
      <w:pPr>
        <w:pStyle w:val="51"/>
        <w:spacing w:line="360" w:lineRule="auto"/>
        <w:ind w:firstLine="480" w:firstLineChars="200"/>
        <w:rPr>
          <w:rFonts w:cs="Times New Roman"/>
          <w:color w:val="auto"/>
          <w:sz w:val="24"/>
          <w:szCs w:val="24"/>
          <w:highlight w:val="none"/>
        </w:rPr>
      </w:pPr>
      <w:r>
        <w:rPr>
          <w:rFonts w:hint="eastAsia"/>
          <w:color w:val="auto"/>
          <w:sz w:val="24"/>
          <w:szCs w:val="24"/>
          <w:highlight w:val="none"/>
        </w:rPr>
        <w:t>评审小组对评审价格进行比较后，按照评审价格由低到高的顺序对</w:t>
      </w:r>
      <w:r>
        <w:rPr>
          <w:rFonts w:hint="eastAsia"/>
          <w:color w:val="auto"/>
          <w:sz w:val="24"/>
          <w:szCs w:val="24"/>
          <w:highlight w:val="none"/>
          <w:lang w:eastAsia="zh-CN"/>
        </w:rPr>
        <w:t>询比响应人</w:t>
      </w:r>
      <w:r>
        <w:rPr>
          <w:rFonts w:hint="eastAsia"/>
          <w:color w:val="auto"/>
          <w:sz w:val="24"/>
          <w:szCs w:val="24"/>
          <w:highlight w:val="none"/>
        </w:rPr>
        <w:t>排序。</w:t>
      </w:r>
      <w:r>
        <w:rPr>
          <w:color w:val="auto"/>
          <w:sz w:val="24"/>
          <w:szCs w:val="24"/>
          <w:highlight w:val="none"/>
        </w:rPr>
        <w:t xml:space="preserve"> </w:t>
      </w:r>
      <w:r>
        <w:rPr>
          <w:rFonts w:hint="eastAsia"/>
          <w:color w:val="auto"/>
          <w:sz w:val="24"/>
          <w:szCs w:val="24"/>
          <w:highlight w:val="none"/>
          <w:lang w:eastAsia="zh-CN"/>
        </w:rPr>
        <w:t>询比响应人</w:t>
      </w:r>
      <w:r>
        <w:rPr>
          <w:rFonts w:hint="eastAsia"/>
          <w:color w:val="auto"/>
          <w:sz w:val="24"/>
          <w:szCs w:val="24"/>
          <w:highlight w:val="none"/>
        </w:rPr>
        <w:t>评审价格相等时，按照评审办法前附表的规定确定</w:t>
      </w:r>
      <w:r>
        <w:rPr>
          <w:rFonts w:hint="eastAsia"/>
          <w:color w:val="auto"/>
          <w:sz w:val="24"/>
          <w:szCs w:val="24"/>
          <w:highlight w:val="none"/>
          <w:lang w:eastAsia="zh-CN"/>
        </w:rPr>
        <w:t>询比响应人</w:t>
      </w:r>
      <w:r>
        <w:rPr>
          <w:rFonts w:hint="eastAsia"/>
          <w:color w:val="auto"/>
          <w:sz w:val="24"/>
          <w:szCs w:val="24"/>
          <w:highlight w:val="none"/>
        </w:rPr>
        <w:t>优先顺序。</w:t>
      </w:r>
    </w:p>
    <w:p w14:paraId="1E957B75">
      <w:pPr>
        <w:pStyle w:val="3"/>
        <w:rPr>
          <w:rFonts w:ascii="宋体" w:cs="Times New Roman"/>
          <w:color w:val="auto"/>
          <w:highlight w:val="none"/>
        </w:rPr>
      </w:pPr>
      <w:bookmarkStart w:id="151" w:name="bookmark1103"/>
      <w:bookmarkStart w:id="152" w:name="bookmark1102"/>
      <w:bookmarkStart w:id="153" w:name="_Toc31115"/>
      <w:bookmarkStart w:id="154" w:name="bookmark1101"/>
      <w:bookmarkStart w:id="155" w:name="_Toc27680"/>
      <w:r>
        <w:rPr>
          <w:rFonts w:ascii="宋体" w:hAnsi="宋体" w:cs="宋体"/>
          <w:color w:val="auto"/>
          <w:highlight w:val="none"/>
        </w:rPr>
        <w:t>3</w:t>
      </w:r>
      <w:r>
        <w:rPr>
          <w:rFonts w:hint="eastAsia" w:ascii="宋体" w:hAnsi="宋体" w:cs="宋体"/>
          <w:color w:val="auto"/>
          <w:highlight w:val="none"/>
        </w:rPr>
        <w:t>详细评审标准和程序</w:t>
      </w:r>
      <w:r>
        <w:rPr>
          <w:rFonts w:ascii="宋体" w:hAnsi="宋体" w:cs="宋体"/>
          <w:color w:val="auto"/>
          <w:highlight w:val="none"/>
        </w:rPr>
        <w:t>(</w:t>
      </w:r>
      <w:r>
        <w:rPr>
          <w:rFonts w:hint="eastAsia" w:ascii="宋体" w:hAnsi="宋体" w:cs="宋体"/>
          <w:color w:val="auto"/>
          <w:highlight w:val="none"/>
        </w:rPr>
        <w:t>综合评分法</w:t>
      </w:r>
      <w:r>
        <w:rPr>
          <w:rFonts w:ascii="宋体" w:hAnsi="宋体" w:cs="宋体"/>
          <w:color w:val="auto"/>
          <w:highlight w:val="none"/>
        </w:rPr>
        <w:t>)</w:t>
      </w:r>
      <w:bookmarkEnd w:id="151"/>
      <w:bookmarkEnd w:id="152"/>
      <w:bookmarkEnd w:id="153"/>
      <w:bookmarkEnd w:id="154"/>
      <w:bookmarkEnd w:id="155"/>
    </w:p>
    <w:p w14:paraId="3214DE6E">
      <w:pPr>
        <w:pStyle w:val="51"/>
        <w:spacing w:line="360" w:lineRule="auto"/>
        <w:rPr>
          <w:rFonts w:cs="Times New Roman"/>
          <w:color w:val="auto"/>
          <w:sz w:val="24"/>
          <w:szCs w:val="24"/>
          <w:highlight w:val="none"/>
        </w:rPr>
      </w:pPr>
      <w:bookmarkStart w:id="156" w:name="bookmark1106"/>
      <w:bookmarkStart w:id="157" w:name="bookmark1105"/>
      <w:bookmarkStart w:id="158" w:name="bookmark1104"/>
      <w:r>
        <w:rPr>
          <w:color w:val="auto"/>
          <w:sz w:val="24"/>
          <w:szCs w:val="24"/>
          <w:highlight w:val="none"/>
          <w:lang w:val="en-US" w:eastAsia="zh-CN"/>
        </w:rPr>
        <w:t>3.1</w:t>
      </w:r>
      <w:r>
        <w:rPr>
          <w:rFonts w:hint="eastAsia"/>
          <w:color w:val="auto"/>
          <w:sz w:val="24"/>
          <w:szCs w:val="24"/>
          <w:highlight w:val="none"/>
        </w:rPr>
        <w:t>分值构成</w:t>
      </w:r>
      <w:bookmarkEnd w:id="156"/>
      <w:bookmarkEnd w:id="157"/>
      <w:bookmarkEnd w:id="158"/>
    </w:p>
    <w:p w14:paraId="58A2027E">
      <w:pPr>
        <w:pStyle w:val="51"/>
        <w:tabs>
          <w:tab w:val="left" w:pos="1446"/>
        </w:tabs>
        <w:spacing w:line="360" w:lineRule="auto"/>
        <w:ind w:firstLine="480" w:firstLineChars="200"/>
        <w:rPr>
          <w:rFonts w:cs="Times New Roman"/>
          <w:color w:val="auto"/>
          <w:sz w:val="24"/>
          <w:szCs w:val="24"/>
          <w:highlight w:val="none"/>
        </w:rPr>
      </w:pPr>
      <w:bookmarkStart w:id="159" w:name="bookmark1107"/>
      <w:bookmarkEnd w:id="159"/>
      <w:r>
        <w:rPr>
          <w:color w:val="auto"/>
          <w:sz w:val="24"/>
          <w:szCs w:val="24"/>
          <w:highlight w:val="none"/>
          <w:lang w:val="en-US" w:eastAsia="zh-CN"/>
        </w:rPr>
        <w:t>(1)</w:t>
      </w:r>
      <w:r>
        <w:rPr>
          <w:rFonts w:hint="eastAsia"/>
          <w:color w:val="auto"/>
          <w:sz w:val="24"/>
          <w:szCs w:val="24"/>
          <w:highlight w:val="none"/>
        </w:rPr>
        <w:t>商务部分：见评审办法前附表；</w:t>
      </w:r>
    </w:p>
    <w:p w14:paraId="7E22E5B8">
      <w:pPr>
        <w:pStyle w:val="51"/>
        <w:tabs>
          <w:tab w:val="left" w:pos="1446"/>
        </w:tabs>
        <w:spacing w:line="360" w:lineRule="auto"/>
        <w:ind w:firstLine="480" w:firstLineChars="200"/>
        <w:rPr>
          <w:rFonts w:cs="Times New Roman"/>
          <w:color w:val="auto"/>
          <w:sz w:val="24"/>
          <w:szCs w:val="24"/>
          <w:highlight w:val="none"/>
        </w:rPr>
      </w:pPr>
      <w:bookmarkStart w:id="160" w:name="bookmark1108"/>
      <w:bookmarkEnd w:id="160"/>
      <w:r>
        <w:rPr>
          <w:color w:val="auto"/>
          <w:sz w:val="24"/>
          <w:szCs w:val="24"/>
          <w:highlight w:val="none"/>
          <w:lang w:val="en-US" w:eastAsia="zh-CN"/>
        </w:rPr>
        <w:t>(2)</w:t>
      </w:r>
      <w:r>
        <w:rPr>
          <w:rFonts w:hint="eastAsia"/>
          <w:color w:val="auto"/>
          <w:sz w:val="24"/>
          <w:szCs w:val="24"/>
          <w:highlight w:val="none"/>
        </w:rPr>
        <w:t>技术部分：见评审办法前附表；</w:t>
      </w:r>
    </w:p>
    <w:p w14:paraId="54374FCD">
      <w:pPr>
        <w:pStyle w:val="51"/>
        <w:tabs>
          <w:tab w:val="left" w:pos="1446"/>
        </w:tabs>
        <w:spacing w:line="360" w:lineRule="auto"/>
        <w:ind w:firstLine="480" w:firstLineChars="200"/>
        <w:rPr>
          <w:rFonts w:cs="Times New Roman"/>
          <w:color w:val="auto"/>
          <w:sz w:val="24"/>
          <w:szCs w:val="24"/>
          <w:highlight w:val="none"/>
        </w:rPr>
      </w:pPr>
      <w:bookmarkStart w:id="161" w:name="bookmark1109"/>
      <w:bookmarkEnd w:id="161"/>
      <w:r>
        <w:rPr>
          <w:color w:val="auto"/>
          <w:sz w:val="24"/>
          <w:szCs w:val="24"/>
          <w:highlight w:val="none"/>
          <w:lang w:val="en-US" w:eastAsia="zh-CN"/>
        </w:rPr>
        <w:t>(3)</w:t>
      </w:r>
      <w:r>
        <w:rPr>
          <w:rFonts w:hint="eastAsia"/>
          <w:color w:val="auto"/>
          <w:sz w:val="24"/>
          <w:szCs w:val="24"/>
          <w:highlight w:val="none"/>
        </w:rPr>
        <w:t>报价：见评审办法前附表；</w:t>
      </w:r>
    </w:p>
    <w:p w14:paraId="160B4775">
      <w:pPr>
        <w:pStyle w:val="51"/>
        <w:tabs>
          <w:tab w:val="left" w:pos="1446"/>
        </w:tabs>
        <w:spacing w:line="360" w:lineRule="auto"/>
        <w:ind w:firstLine="480" w:firstLineChars="200"/>
        <w:rPr>
          <w:rFonts w:cs="Times New Roman"/>
          <w:color w:val="auto"/>
          <w:sz w:val="24"/>
          <w:szCs w:val="24"/>
          <w:highlight w:val="none"/>
        </w:rPr>
      </w:pPr>
      <w:bookmarkStart w:id="162" w:name="bookmark1110"/>
      <w:bookmarkEnd w:id="162"/>
      <w:r>
        <w:rPr>
          <w:color w:val="auto"/>
          <w:sz w:val="24"/>
          <w:szCs w:val="24"/>
          <w:highlight w:val="none"/>
          <w:lang w:val="en-US" w:eastAsia="zh-CN"/>
        </w:rPr>
        <w:t>(4)</w:t>
      </w:r>
      <w:r>
        <w:rPr>
          <w:rFonts w:hint="eastAsia"/>
          <w:color w:val="auto"/>
          <w:sz w:val="24"/>
          <w:szCs w:val="24"/>
          <w:highlight w:val="none"/>
        </w:rPr>
        <w:t>其他评分因素：见评审办法前附表。</w:t>
      </w:r>
    </w:p>
    <w:p w14:paraId="1739BE36">
      <w:pPr>
        <w:pStyle w:val="51"/>
        <w:spacing w:line="360" w:lineRule="auto"/>
        <w:rPr>
          <w:rFonts w:cs="Times New Roman"/>
          <w:color w:val="auto"/>
          <w:sz w:val="24"/>
          <w:szCs w:val="24"/>
          <w:highlight w:val="none"/>
        </w:rPr>
      </w:pPr>
      <w:bookmarkStart w:id="163" w:name="bookmark1111"/>
      <w:bookmarkStart w:id="164" w:name="bookmark1112"/>
      <w:bookmarkStart w:id="165" w:name="bookmark1113"/>
      <w:r>
        <w:rPr>
          <w:color w:val="auto"/>
          <w:sz w:val="24"/>
          <w:szCs w:val="24"/>
          <w:highlight w:val="none"/>
          <w:lang w:val="en-US" w:eastAsia="zh-CN"/>
        </w:rPr>
        <w:t>3.2</w:t>
      </w:r>
      <w:r>
        <w:rPr>
          <w:rFonts w:hint="eastAsia"/>
          <w:color w:val="auto"/>
          <w:sz w:val="24"/>
          <w:szCs w:val="24"/>
          <w:highlight w:val="none"/>
        </w:rPr>
        <w:t>评审基准价计算</w:t>
      </w:r>
      <w:bookmarkEnd w:id="163"/>
      <w:bookmarkEnd w:id="164"/>
      <w:bookmarkEnd w:id="165"/>
    </w:p>
    <w:p w14:paraId="00839F26">
      <w:pPr>
        <w:pStyle w:val="51"/>
        <w:tabs>
          <w:tab w:val="left" w:pos="1451"/>
        </w:tabs>
        <w:spacing w:line="360" w:lineRule="auto"/>
        <w:ind w:firstLine="480" w:firstLineChars="200"/>
        <w:rPr>
          <w:rFonts w:cs="Times New Roman"/>
          <w:color w:val="auto"/>
          <w:sz w:val="24"/>
          <w:szCs w:val="24"/>
          <w:highlight w:val="none"/>
        </w:rPr>
      </w:pPr>
      <w:bookmarkStart w:id="166" w:name="bookmark1114"/>
      <w:bookmarkEnd w:id="166"/>
      <w:r>
        <w:rPr>
          <w:color w:val="auto"/>
          <w:sz w:val="24"/>
          <w:szCs w:val="24"/>
          <w:highlight w:val="none"/>
          <w:lang w:val="en-US" w:eastAsia="zh-CN"/>
        </w:rPr>
        <w:t>(1)</w:t>
      </w:r>
      <w:r>
        <w:rPr>
          <w:rFonts w:hint="eastAsia"/>
          <w:color w:val="auto"/>
          <w:sz w:val="24"/>
          <w:szCs w:val="24"/>
          <w:highlight w:val="none"/>
        </w:rPr>
        <w:t>评审价格：评审价格为按照本章第</w:t>
      </w:r>
      <w:r>
        <w:rPr>
          <w:color w:val="auto"/>
          <w:sz w:val="24"/>
          <w:szCs w:val="24"/>
          <w:highlight w:val="none"/>
          <w:lang w:val="en-US" w:eastAsia="zh-CN"/>
        </w:rPr>
        <w:t>2. 2.2</w:t>
      </w:r>
      <w:r>
        <w:rPr>
          <w:rFonts w:hint="eastAsia"/>
          <w:color w:val="auto"/>
          <w:sz w:val="24"/>
          <w:szCs w:val="24"/>
          <w:highlight w:val="none"/>
        </w:rPr>
        <w:t>项规定确定的价格；</w:t>
      </w:r>
    </w:p>
    <w:p w14:paraId="1D930A30">
      <w:pPr>
        <w:pStyle w:val="51"/>
        <w:tabs>
          <w:tab w:val="left" w:pos="1451"/>
        </w:tabs>
        <w:spacing w:line="360" w:lineRule="auto"/>
        <w:ind w:firstLine="480" w:firstLineChars="200"/>
        <w:rPr>
          <w:rFonts w:cs="Times New Roman"/>
          <w:color w:val="auto"/>
          <w:sz w:val="24"/>
          <w:szCs w:val="24"/>
          <w:highlight w:val="none"/>
        </w:rPr>
      </w:pPr>
      <w:bookmarkStart w:id="167" w:name="bookmark1115"/>
      <w:bookmarkEnd w:id="167"/>
      <w:r>
        <w:rPr>
          <w:color w:val="auto"/>
          <w:sz w:val="24"/>
          <w:szCs w:val="24"/>
          <w:highlight w:val="none"/>
          <w:lang w:val="en-US" w:eastAsia="zh-CN"/>
        </w:rPr>
        <w:t>(2)</w:t>
      </w:r>
      <w:r>
        <w:rPr>
          <w:rFonts w:hint="eastAsia"/>
          <w:color w:val="auto"/>
          <w:sz w:val="24"/>
          <w:szCs w:val="24"/>
          <w:highlight w:val="none"/>
        </w:rPr>
        <w:t>评审基准价计算方法：</w:t>
      </w:r>
    </w:p>
    <w:p w14:paraId="1C305B65">
      <w:pPr>
        <w:pStyle w:val="51"/>
        <w:spacing w:line="360" w:lineRule="auto"/>
        <w:ind w:firstLine="480" w:firstLineChars="200"/>
        <w:rPr>
          <w:rFonts w:cs="Times New Roman"/>
          <w:color w:val="auto"/>
          <w:sz w:val="24"/>
          <w:szCs w:val="24"/>
          <w:highlight w:val="none"/>
        </w:rPr>
      </w:pPr>
      <w:r>
        <w:rPr>
          <w:rFonts w:hint="eastAsia"/>
          <w:color w:val="auto"/>
          <w:sz w:val="24"/>
          <w:szCs w:val="24"/>
          <w:highlight w:val="none"/>
        </w:rPr>
        <w:t>方法一：评审基准价</w:t>
      </w:r>
      <w:r>
        <w:rPr>
          <w:color w:val="auto"/>
          <w:sz w:val="24"/>
          <w:szCs w:val="24"/>
          <w:highlight w:val="none"/>
        </w:rPr>
        <w:t>=</w:t>
      </w:r>
      <w:r>
        <w:rPr>
          <w:rFonts w:hint="eastAsia"/>
          <w:color w:val="auto"/>
          <w:sz w:val="24"/>
          <w:szCs w:val="24"/>
          <w:highlight w:val="none"/>
        </w:rPr>
        <w:t>评审价格平均值</w:t>
      </w:r>
      <w:r>
        <w:rPr>
          <w:color w:val="auto"/>
          <w:sz w:val="24"/>
          <w:szCs w:val="24"/>
          <w:highlight w:val="none"/>
        </w:rPr>
        <w:t>(</w:t>
      </w:r>
      <w:r>
        <w:rPr>
          <w:rFonts w:hint="eastAsia"/>
          <w:color w:val="auto"/>
          <w:sz w:val="24"/>
          <w:szCs w:val="24"/>
          <w:highlight w:val="none"/>
        </w:rPr>
        <w:t>即通过初步评审的所有</w:t>
      </w:r>
      <w:r>
        <w:rPr>
          <w:rFonts w:hint="eastAsia"/>
          <w:color w:val="auto"/>
          <w:sz w:val="24"/>
          <w:szCs w:val="24"/>
          <w:highlight w:val="none"/>
          <w:lang w:eastAsia="zh-CN"/>
        </w:rPr>
        <w:t>询比响应人</w:t>
      </w:r>
      <w:r>
        <w:rPr>
          <w:rFonts w:hint="eastAsia"/>
          <w:color w:val="auto"/>
          <w:sz w:val="24"/>
          <w:szCs w:val="24"/>
          <w:highlight w:val="none"/>
        </w:rPr>
        <w:t>评审价格的算术平均值</w:t>
      </w:r>
      <w:r>
        <w:rPr>
          <w:color w:val="auto"/>
          <w:sz w:val="24"/>
          <w:szCs w:val="24"/>
          <w:highlight w:val="none"/>
        </w:rPr>
        <w:t>)</w:t>
      </w:r>
      <w:r>
        <w:rPr>
          <w:rFonts w:hint="eastAsia"/>
          <w:color w:val="auto"/>
          <w:sz w:val="24"/>
          <w:szCs w:val="24"/>
          <w:highlight w:val="none"/>
        </w:rPr>
        <w:t>。</w:t>
      </w:r>
    </w:p>
    <w:p w14:paraId="1B905F78">
      <w:pPr>
        <w:pStyle w:val="51"/>
        <w:spacing w:line="360" w:lineRule="auto"/>
        <w:ind w:firstLine="480" w:firstLineChars="200"/>
        <w:rPr>
          <w:rFonts w:cs="Times New Roman"/>
          <w:color w:val="auto"/>
          <w:sz w:val="24"/>
          <w:szCs w:val="24"/>
          <w:highlight w:val="none"/>
        </w:rPr>
      </w:pPr>
      <w:r>
        <w:rPr>
          <w:rFonts w:hint="eastAsia"/>
          <w:color w:val="auto"/>
          <w:sz w:val="24"/>
          <w:szCs w:val="24"/>
          <w:highlight w:val="none"/>
        </w:rPr>
        <w:t>方法二：评审基准价</w:t>
      </w:r>
      <w:r>
        <w:rPr>
          <w:color w:val="auto"/>
          <w:sz w:val="24"/>
          <w:szCs w:val="24"/>
          <w:highlight w:val="none"/>
        </w:rPr>
        <w:t>=</w:t>
      </w:r>
      <w:r>
        <w:rPr>
          <w:rFonts w:hint="eastAsia"/>
          <w:color w:val="auto"/>
          <w:sz w:val="24"/>
          <w:szCs w:val="24"/>
          <w:highlight w:val="none"/>
        </w:rPr>
        <w:t>评审价格平均值</w:t>
      </w:r>
      <w:r>
        <w:rPr>
          <w:color w:val="auto"/>
          <w:sz w:val="24"/>
          <w:szCs w:val="24"/>
          <w:highlight w:val="none"/>
        </w:rPr>
        <w:t>(</w:t>
      </w:r>
      <w:r>
        <w:rPr>
          <w:rFonts w:hint="eastAsia"/>
          <w:color w:val="auto"/>
          <w:sz w:val="24"/>
          <w:szCs w:val="24"/>
          <w:highlight w:val="none"/>
        </w:rPr>
        <w:t>即通过初步评审的所有</w:t>
      </w:r>
      <w:r>
        <w:rPr>
          <w:rFonts w:hint="eastAsia"/>
          <w:color w:val="auto"/>
          <w:sz w:val="24"/>
          <w:szCs w:val="24"/>
          <w:highlight w:val="none"/>
          <w:lang w:eastAsia="zh-CN"/>
        </w:rPr>
        <w:t>询比响应人</w:t>
      </w:r>
      <w:r>
        <w:rPr>
          <w:rFonts w:hint="eastAsia"/>
          <w:color w:val="auto"/>
          <w:sz w:val="24"/>
          <w:szCs w:val="24"/>
          <w:highlight w:val="none"/>
        </w:rPr>
        <w:t>评审价格</w:t>
      </w:r>
      <w:r>
        <w:rPr>
          <w:color w:val="auto"/>
          <w:sz w:val="24"/>
          <w:szCs w:val="24"/>
          <w:highlight w:val="none"/>
        </w:rPr>
        <w:t xml:space="preserve"> </w:t>
      </w:r>
      <w:r>
        <w:rPr>
          <w:rFonts w:hint="eastAsia"/>
          <w:color w:val="auto"/>
          <w:sz w:val="24"/>
          <w:szCs w:val="24"/>
          <w:highlight w:val="none"/>
        </w:rPr>
        <w:t>的算术平均值</w:t>
      </w:r>
      <w:r>
        <w:rPr>
          <w:color w:val="auto"/>
          <w:sz w:val="24"/>
          <w:szCs w:val="24"/>
          <w:highlight w:val="none"/>
        </w:rPr>
        <w:t>)</w:t>
      </w:r>
      <w:r>
        <w:rPr>
          <w:color w:val="auto"/>
          <w:sz w:val="24"/>
          <w:szCs w:val="24"/>
          <w:highlight w:val="none"/>
          <w:lang w:val="en-US" w:eastAsia="zh-CN"/>
        </w:rPr>
        <w:t>x</w:t>
      </w:r>
      <w:r>
        <w:rPr>
          <w:rFonts w:hint="eastAsia"/>
          <w:color w:val="auto"/>
          <w:sz w:val="24"/>
          <w:szCs w:val="24"/>
          <w:highlight w:val="none"/>
        </w:rPr>
        <w:t>评审基准价系数，评审基准价系数的取值见评审办法前附表。</w:t>
      </w:r>
    </w:p>
    <w:p w14:paraId="59CD8CD3">
      <w:pPr>
        <w:pStyle w:val="51"/>
        <w:spacing w:line="360" w:lineRule="auto"/>
        <w:ind w:firstLine="480" w:firstLineChars="200"/>
        <w:jc w:val="left"/>
        <w:rPr>
          <w:rFonts w:cs="Times New Roman"/>
          <w:color w:val="auto"/>
          <w:sz w:val="24"/>
          <w:szCs w:val="24"/>
          <w:highlight w:val="none"/>
        </w:rPr>
      </w:pPr>
      <w:r>
        <w:rPr>
          <w:rFonts w:hint="eastAsia"/>
          <w:color w:val="auto"/>
          <w:sz w:val="24"/>
          <w:szCs w:val="24"/>
          <w:highlight w:val="none"/>
        </w:rPr>
        <w:t>方法三：评审基准价</w:t>
      </w:r>
      <w:r>
        <w:rPr>
          <w:color w:val="auto"/>
          <w:sz w:val="24"/>
          <w:szCs w:val="24"/>
          <w:highlight w:val="none"/>
        </w:rPr>
        <w:t>=</w:t>
      </w:r>
      <w:r>
        <w:rPr>
          <w:rFonts w:hint="eastAsia"/>
          <w:color w:val="auto"/>
          <w:sz w:val="24"/>
          <w:szCs w:val="24"/>
          <w:highlight w:val="none"/>
        </w:rPr>
        <w:t>通过初步评审的所有</w:t>
      </w:r>
      <w:r>
        <w:rPr>
          <w:rFonts w:hint="eastAsia"/>
          <w:color w:val="auto"/>
          <w:sz w:val="24"/>
          <w:szCs w:val="24"/>
          <w:highlight w:val="none"/>
          <w:lang w:eastAsia="zh-CN"/>
        </w:rPr>
        <w:t>询比响应人</w:t>
      </w:r>
      <w:r>
        <w:rPr>
          <w:rFonts w:hint="eastAsia"/>
          <w:color w:val="auto"/>
          <w:sz w:val="24"/>
          <w:szCs w:val="24"/>
          <w:highlight w:val="none"/>
        </w:rPr>
        <w:t>的最低评审价格。</w:t>
      </w:r>
    </w:p>
    <w:p w14:paraId="24A16418">
      <w:pPr>
        <w:pStyle w:val="51"/>
        <w:spacing w:line="360" w:lineRule="auto"/>
        <w:ind w:firstLine="480" w:firstLineChars="200"/>
        <w:jc w:val="left"/>
        <w:rPr>
          <w:rFonts w:cs="Times New Roman"/>
          <w:color w:val="auto"/>
          <w:sz w:val="24"/>
          <w:szCs w:val="24"/>
          <w:highlight w:val="none"/>
        </w:rPr>
      </w:pPr>
      <w:r>
        <w:rPr>
          <w:rFonts w:hint="eastAsia"/>
          <w:color w:val="auto"/>
          <w:sz w:val="24"/>
          <w:szCs w:val="24"/>
          <w:highlight w:val="none"/>
        </w:rPr>
        <w:t>方法四：</w:t>
      </w:r>
      <w:r>
        <w:rPr>
          <w:rFonts w:hint="eastAsia"/>
          <w:color w:val="auto"/>
          <w:highlight w:val="none"/>
          <w:lang w:val="en-US" w:eastAsia="zh-CN"/>
        </w:rPr>
        <w:t>采购人</w:t>
      </w:r>
      <w:r>
        <w:rPr>
          <w:rFonts w:hint="eastAsia"/>
          <w:color w:val="auto"/>
          <w:sz w:val="24"/>
          <w:szCs w:val="24"/>
          <w:highlight w:val="none"/>
        </w:rPr>
        <w:t>确定的其他方法。</w:t>
      </w:r>
    </w:p>
    <w:p w14:paraId="300D539A">
      <w:pPr>
        <w:pStyle w:val="51"/>
        <w:spacing w:line="360" w:lineRule="auto"/>
        <w:jc w:val="left"/>
        <w:rPr>
          <w:rFonts w:cs="Times New Roman"/>
          <w:color w:val="auto"/>
          <w:sz w:val="24"/>
          <w:szCs w:val="24"/>
          <w:highlight w:val="none"/>
        </w:rPr>
      </w:pPr>
      <w:r>
        <w:rPr>
          <w:rFonts w:hint="eastAsia"/>
          <w:color w:val="auto"/>
          <w:sz w:val="24"/>
          <w:szCs w:val="24"/>
          <w:highlight w:val="none"/>
        </w:rPr>
        <w:t>评审基准价计算方法的选择见评审办法前附表。</w:t>
      </w:r>
    </w:p>
    <w:p w14:paraId="0E1C7884">
      <w:pPr>
        <w:pStyle w:val="51"/>
        <w:spacing w:line="360" w:lineRule="auto"/>
        <w:rPr>
          <w:rFonts w:cs="Times New Roman"/>
          <w:color w:val="auto"/>
          <w:sz w:val="24"/>
          <w:szCs w:val="24"/>
          <w:highlight w:val="none"/>
        </w:rPr>
      </w:pPr>
      <w:bookmarkStart w:id="168" w:name="bookmark1117"/>
      <w:bookmarkStart w:id="169" w:name="bookmark1118"/>
      <w:bookmarkStart w:id="170" w:name="bookmark1116"/>
      <w:r>
        <w:rPr>
          <w:color w:val="auto"/>
          <w:sz w:val="24"/>
          <w:szCs w:val="24"/>
          <w:highlight w:val="none"/>
          <w:lang w:val="en-US" w:eastAsia="zh-CN"/>
        </w:rPr>
        <w:t>3.3</w:t>
      </w:r>
      <w:r>
        <w:rPr>
          <w:rFonts w:hint="eastAsia"/>
          <w:color w:val="auto"/>
          <w:sz w:val="24"/>
          <w:szCs w:val="24"/>
          <w:highlight w:val="none"/>
        </w:rPr>
        <w:t>评分标准</w:t>
      </w:r>
      <w:bookmarkEnd w:id="168"/>
      <w:bookmarkEnd w:id="169"/>
      <w:bookmarkEnd w:id="170"/>
    </w:p>
    <w:p w14:paraId="74093DBB">
      <w:pPr>
        <w:pStyle w:val="51"/>
        <w:tabs>
          <w:tab w:val="left" w:pos="1446"/>
        </w:tabs>
        <w:spacing w:line="360" w:lineRule="auto"/>
        <w:ind w:firstLine="480" w:firstLineChars="200"/>
        <w:rPr>
          <w:rFonts w:cs="Times New Roman"/>
          <w:color w:val="auto"/>
          <w:sz w:val="24"/>
          <w:szCs w:val="24"/>
          <w:highlight w:val="none"/>
        </w:rPr>
      </w:pPr>
      <w:bookmarkStart w:id="171" w:name="bookmark1119"/>
      <w:bookmarkEnd w:id="171"/>
      <w:r>
        <w:rPr>
          <w:color w:val="auto"/>
          <w:sz w:val="24"/>
          <w:szCs w:val="24"/>
          <w:highlight w:val="none"/>
          <w:lang w:val="en-US" w:eastAsia="zh-CN"/>
        </w:rPr>
        <w:t>(1)</w:t>
      </w:r>
      <w:r>
        <w:rPr>
          <w:rFonts w:hint="eastAsia"/>
          <w:color w:val="auto"/>
          <w:sz w:val="24"/>
          <w:szCs w:val="24"/>
          <w:highlight w:val="none"/>
        </w:rPr>
        <w:t>商务评分标准：见评审办法前附表；</w:t>
      </w:r>
    </w:p>
    <w:p w14:paraId="2D4191A6">
      <w:pPr>
        <w:pStyle w:val="51"/>
        <w:tabs>
          <w:tab w:val="left" w:pos="1446"/>
        </w:tabs>
        <w:spacing w:line="360" w:lineRule="auto"/>
        <w:ind w:firstLine="480" w:firstLineChars="200"/>
        <w:rPr>
          <w:rFonts w:cs="Times New Roman"/>
          <w:color w:val="auto"/>
          <w:sz w:val="24"/>
          <w:szCs w:val="24"/>
          <w:highlight w:val="none"/>
        </w:rPr>
      </w:pPr>
      <w:bookmarkStart w:id="172" w:name="bookmark1120"/>
      <w:bookmarkEnd w:id="172"/>
      <w:r>
        <w:rPr>
          <w:color w:val="auto"/>
          <w:sz w:val="24"/>
          <w:szCs w:val="24"/>
          <w:highlight w:val="none"/>
          <w:lang w:val="en-US" w:eastAsia="zh-CN"/>
        </w:rPr>
        <w:t>(2)</w:t>
      </w:r>
      <w:r>
        <w:rPr>
          <w:rFonts w:hint="eastAsia"/>
          <w:color w:val="auto"/>
          <w:sz w:val="24"/>
          <w:szCs w:val="24"/>
          <w:highlight w:val="none"/>
        </w:rPr>
        <w:t>技术评分标准：见评审办法前附表；</w:t>
      </w:r>
    </w:p>
    <w:p w14:paraId="52B140E9">
      <w:pPr>
        <w:pStyle w:val="51"/>
        <w:tabs>
          <w:tab w:val="left" w:pos="1446"/>
        </w:tabs>
        <w:spacing w:line="360" w:lineRule="auto"/>
        <w:ind w:firstLine="480" w:firstLineChars="200"/>
        <w:rPr>
          <w:rFonts w:cs="Times New Roman"/>
          <w:color w:val="auto"/>
          <w:sz w:val="24"/>
          <w:szCs w:val="24"/>
          <w:highlight w:val="none"/>
        </w:rPr>
      </w:pPr>
      <w:bookmarkStart w:id="173" w:name="bookmark1121"/>
      <w:bookmarkEnd w:id="173"/>
      <w:r>
        <w:rPr>
          <w:color w:val="auto"/>
          <w:sz w:val="24"/>
          <w:szCs w:val="24"/>
          <w:highlight w:val="none"/>
          <w:lang w:val="en-US" w:eastAsia="zh-CN"/>
        </w:rPr>
        <w:t>(3)</w:t>
      </w:r>
      <w:r>
        <w:rPr>
          <w:rFonts w:hint="eastAsia"/>
          <w:color w:val="auto"/>
          <w:sz w:val="24"/>
          <w:szCs w:val="24"/>
          <w:highlight w:val="none"/>
        </w:rPr>
        <w:t>报价评分标准：</w:t>
      </w:r>
    </w:p>
    <w:p w14:paraId="0C563F8E">
      <w:pPr>
        <w:pStyle w:val="51"/>
        <w:spacing w:line="360" w:lineRule="auto"/>
        <w:ind w:firstLine="480" w:firstLineChars="200"/>
        <w:rPr>
          <w:rFonts w:cs="Times New Roman"/>
          <w:color w:val="auto"/>
          <w:sz w:val="24"/>
          <w:szCs w:val="24"/>
          <w:highlight w:val="none"/>
        </w:rPr>
      </w:pPr>
      <w:r>
        <w:rPr>
          <w:rFonts w:hint="eastAsia"/>
          <w:color w:val="auto"/>
          <w:sz w:val="24"/>
          <w:szCs w:val="24"/>
          <w:highlight w:val="none"/>
        </w:rPr>
        <w:t>报价得分可采用如下方法计算：</w:t>
      </w:r>
    </w:p>
    <w:p w14:paraId="102613A6">
      <w:pPr>
        <w:pStyle w:val="51"/>
        <w:spacing w:line="360" w:lineRule="auto"/>
        <w:ind w:firstLine="480" w:firstLineChars="200"/>
        <w:rPr>
          <w:rFonts w:cs="Times New Roman"/>
          <w:color w:val="auto"/>
          <w:sz w:val="24"/>
          <w:szCs w:val="24"/>
          <w:highlight w:val="none"/>
        </w:rPr>
      </w:pPr>
      <w:r>
        <w:rPr>
          <w:rFonts w:hint="eastAsia"/>
          <w:color w:val="auto"/>
          <w:sz w:val="24"/>
          <w:szCs w:val="24"/>
          <w:highlight w:val="none"/>
        </w:rPr>
        <w:t>方法一：偏差率</w:t>
      </w:r>
      <w:r>
        <w:rPr>
          <w:color w:val="auto"/>
          <w:sz w:val="24"/>
          <w:szCs w:val="24"/>
          <w:highlight w:val="none"/>
        </w:rPr>
        <w:t>=(</w:t>
      </w:r>
      <w:r>
        <w:rPr>
          <w:rFonts w:hint="eastAsia"/>
          <w:color w:val="auto"/>
          <w:sz w:val="24"/>
          <w:szCs w:val="24"/>
          <w:highlight w:val="none"/>
          <w:lang w:eastAsia="zh-CN"/>
        </w:rPr>
        <w:t>询比响应人</w:t>
      </w:r>
      <w:r>
        <w:rPr>
          <w:rFonts w:hint="eastAsia"/>
          <w:color w:val="auto"/>
          <w:sz w:val="24"/>
          <w:szCs w:val="24"/>
          <w:highlight w:val="none"/>
        </w:rPr>
        <w:t>评审价格</w:t>
      </w:r>
      <w:r>
        <w:rPr>
          <w:color w:val="auto"/>
          <w:sz w:val="24"/>
          <w:szCs w:val="24"/>
          <w:highlight w:val="none"/>
        </w:rPr>
        <w:t>-</w:t>
      </w:r>
      <w:r>
        <w:rPr>
          <w:rFonts w:hint="eastAsia"/>
          <w:color w:val="auto"/>
          <w:sz w:val="24"/>
          <w:szCs w:val="24"/>
          <w:highlight w:val="none"/>
        </w:rPr>
        <w:t>评审基准价</w:t>
      </w:r>
      <w:r>
        <w:rPr>
          <w:color w:val="auto"/>
          <w:sz w:val="24"/>
          <w:szCs w:val="24"/>
          <w:highlight w:val="none"/>
        </w:rPr>
        <w:t>)/</w:t>
      </w:r>
      <w:r>
        <w:rPr>
          <w:rFonts w:hint="eastAsia"/>
          <w:color w:val="auto"/>
          <w:sz w:val="24"/>
          <w:szCs w:val="24"/>
          <w:highlight w:val="none"/>
        </w:rPr>
        <w:t>评审基准价</w:t>
      </w:r>
      <w:r>
        <w:rPr>
          <w:rFonts w:hint="eastAsia"/>
          <w:color w:val="auto"/>
          <w:sz w:val="24"/>
          <w:szCs w:val="24"/>
          <w:highlight w:val="none"/>
          <w:lang w:val="en-US" w:eastAsia="zh-CN"/>
        </w:rPr>
        <w:t>×</w:t>
      </w:r>
      <w:r>
        <w:rPr>
          <w:color w:val="auto"/>
          <w:sz w:val="24"/>
          <w:szCs w:val="24"/>
          <w:highlight w:val="none"/>
          <w:lang w:val="en-US" w:eastAsia="zh-CN"/>
        </w:rPr>
        <w:t>100%</w:t>
      </w:r>
    </w:p>
    <w:p w14:paraId="53A2B63C">
      <w:pPr>
        <w:pStyle w:val="51"/>
        <w:tabs>
          <w:tab w:val="left" w:pos="1396"/>
        </w:tabs>
        <w:spacing w:line="360" w:lineRule="auto"/>
        <w:ind w:firstLine="480" w:firstLineChars="200"/>
        <w:rPr>
          <w:rFonts w:cs="Times New Roman"/>
          <w:color w:val="auto"/>
          <w:sz w:val="24"/>
          <w:szCs w:val="24"/>
          <w:highlight w:val="none"/>
        </w:rPr>
      </w:pPr>
      <w:bookmarkStart w:id="174" w:name="bookmark1122"/>
      <w:bookmarkEnd w:id="174"/>
      <w:r>
        <w:rPr>
          <w:rFonts w:hint="eastAsia"/>
          <w:color w:val="auto"/>
          <w:sz w:val="24"/>
          <w:szCs w:val="24"/>
          <w:highlight w:val="none"/>
          <w:lang w:eastAsia="zh-CN"/>
        </w:rPr>
        <w:t>①</w:t>
      </w:r>
      <w:r>
        <w:rPr>
          <w:rFonts w:hint="eastAsia"/>
          <w:color w:val="auto"/>
          <w:sz w:val="24"/>
          <w:szCs w:val="24"/>
          <w:highlight w:val="none"/>
        </w:rPr>
        <w:t>如果</w:t>
      </w:r>
      <w:r>
        <w:rPr>
          <w:rFonts w:hint="eastAsia"/>
          <w:color w:val="auto"/>
          <w:sz w:val="24"/>
          <w:szCs w:val="24"/>
          <w:highlight w:val="none"/>
          <w:lang w:eastAsia="zh-CN"/>
        </w:rPr>
        <w:t>询比响应人</w:t>
      </w:r>
      <w:r>
        <w:rPr>
          <w:rFonts w:hint="eastAsia"/>
          <w:color w:val="auto"/>
          <w:sz w:val="24"/>
          <w:szCs w:val="24"/>
          <w:highlight w:val="none"/>
        </w:rPr>
        <w:t>的评审</w:t>
      </w:r>
      <w:r>
        <w:rPr>
          <w:rFonts w:hint="eastAsia"/>
          <w:color w:val="auto"/>
          <w:sz w:val="24"/>
          <w:szCs w:val="24"/>
          <w:highlight w:val="none"/>
          <w:lang w:val="zh-CN" w:eastAsia="zh-CN"/>
        </w:rPr>
        <w:t>价格〉</w:t>
      </w:r>
      <w:r>
        <w:rPr>
          <w:rFonts w:hint="eastAsia"/>
          <w:color w:val="auto"/>
          <w:sz w:val="24"/>
          <w:szCs w:val="24"/>
          <w:highlight w:val="none"/>
        </w:rPr>
        <w:t>评审基准价，则报价得分</w:t>
      </w:r>
      <w:r>
        <w:rPr>
          <w:color w:val="auto"/>
          <w:sz w:val="24"/>
          <w:szCs w:val="24"/>
          <w:highlight w:val="none"/>
          <w:lang w:val="en-US" w:eastAsia="zh-CN"/>
        </w:rPr>
        <w:t>=F-</w:t>
      </w:r>
      <w:r>
        <w:rPr>
          <w:rFonts w:hint="eastAsia"/>
          <w:color w:val="auto"/>
          <w:sz w:val="24"/>
          <w:szCs w:val="24"/>
          <w:highlight w:val="none"/>
        </w:rPr>
        <w:t>偏差率</w:t>
      </w:r>
      <w:r>
        <w:rPr>
          <w:color w:val="auto"/>
          <w:sz w:val="24"/>
          <w:szCs w:val="24"/>
          <w:highlight w:val="none"/>
          <w:lang w:val="en-US" w:eastAsia="zh-CN"/>
        </w:rPr>
        <w:t>xlOOx Ei</w:t>
      </w:r>
      <w:r>
        <w:rPr>
          <w:rFonts w:hint="eastAsia"/>
          <w:color w:val="auto"/>
          <w:sz w:val="24"/>
          <w:szCs w:val="24"/>
          <w:highlight w:val="none"/>
          <w:lang w:val="en-US" w:eastAsia="zh-CN"/>
        </w:rPr>
        <w:t>；</w:t>
      </w:r>
    </w:p>
    <w:p w14:paraId="48FFAA42">
      <w:pPr>
        <w:pStyle w:val="51"/>
        <w:tabs>
          <w:tab w:val="left" w:pos="1396"/>
        </w:tabs>
        <w:spacing w:line="360" w:lineRule="auto"/>
        <w:ind w:firstLine="480" w:firstLineChars="200"/>
        <w:rPr>
          <w:rFonts w:cs="Times New Roman"/>
          <w:color w:val="auto"/>
          <w:sz w:val="24"/>
          <w:szCs w:val="24"/>
          <w:highlight w:val="none"/>
        </w:rPr>
      </w:pPr>
      <w:bookmarkStart w:id="175" w:name="bookmark1123"/>
      <w:bookmarkEnd w:id="175"/>
      <w:r>
        <w:rPr>
          <w:rFonts w:hint="eastAsia"/>
          <w:color w:val="auto"/>
          <w:sz w:val="24"/>
          <w:szCs w:val="24"/>
          <w:highlight w:val="none"/>
          <w:lang w:eastAsia="zh-CN"/>
        </w:rPr>
        <w:t>②</w:t>
      </w:r>
      <w:r>
        <w:rPr>
          <w:rFonts w:hint="eastAsia"/>
          <w:color w:val="auto"/>
          <w:sz w:val="24"/>
          <w:szCs w:val="24"/>
          <w:highlight w:val="none"/>
        </w:rPr>
        <w:t>如果</w:t>
      </w:r>
      <w:r>
        <w:rPr>
          <w:rFonts w:hint="eastAsia"/>
          <w:color w:val="auto"/>
          <w:sz w:val="24"/>
          <w:szCs w:val="24"/>
          <w:highlight w:val="none"/>
          <w:lang w:eastAsia="zh-CN"/>
        </w:rPr>
        <w:t>询比响应人</w:t>
      </w:r>
      <w:r>
        <w:rPr>
          <w:rFonts w:hint="eastAsia"/>
          <w:color w:val="auto"/>
          <w:sz w:val="24"/>
          <w:szCs w:val="24"/>
          <w:highlight w:val="none"/>
        </w:rPr>
        <w:t>的评审</w:t>
      </w:r>
      <w:r>
        <w:rPr>
          <w:rFonts w:hint="eastAsia"/>
          <w:color w:val="auto"/>
          <w:sz w:val="24"/>
          <w:szCs w:val="24"/>
          <w:highlight w:val="none"/>
          <w:lang w:val="zh-CN" w:eastAsia="zh-CN"/>
        </w:rPr>
        <w:t>价格耳</w:t>
      </w:r>
      <w:r>
        <w:rPr>
          <w:rFonts w:hint="eastAsia"/>
          <w:color w:val="auto"/>
          <w:sz w:val="24"/>
          <w:szCs w:val="24"/>
          <w:highlight w:val="none"/>
        </w:rPr>
        <w:t>评审基准价，则报价得分</w:t>
      </w:r>
      <w:r>
        <w:rPr>
          <w:color w:val="auto"/>
          <w:sz w:val="24"/>
          <w:szCs w:val="24"/>
          <w:highlight w:val="none"/>
          <w:lang w:val="en-US" w:eastAsia="zh-CN"/>
        </w:rPr>
        <w:t>=F+</w:t>
      </w:r>
      <w:r>
        <w:rPr>
          <w:rFonts w:hint="eastAsia"/>
          <w:color w:val="auto"/>
          <w:sz w:val="24"/>
          <w:szCs w:val="24"/>
          <w:highlight w:val="none"/>
        </w:rPr>
        <w:t>偏差率</w:t>
      </w:r>
      <w:r>
        <w:rPr>
          <w:color w:val="auto"/>
          <w:sz w:val="24"/>
          <w:szCs w:val="24"/>
          <w:highlight w:val="none"/>
          <w:lang w:val="en-US" w:eastAsia="zh-CN"/>
        </w:rPr>
        <w:t>x 100x E</w:t>
      </w:r>
      <w:r>
        <w:rPr>
          <w:color w:val="auto"/>
          <w:sz w:val="24"/>
          <w:szCs w:val="24"/>
          <w:highlight w:val="none"/>
          <w:vertAlign w:val="subscript"/>
          <w:lang w:val="en-US" w:eastAsia="zh-CN"/>
        </w:rPr>
        <w:t>2O</w:t>
      </w:r>
    </w:p>
    <w:p w14:paraId="7FA46D82">
      <w:pPr>
        <w:pStyle w:val="51"/>
        <w:tabs>
          <w:tab w:val="left" w:pos="358"/>
        </w:tabs>
        <w:spacing w:line="360" w:lineRule="auto"/>
        <w:rPr>
          <w:rFonts w:cs="Times New Roman"/>
          <w:color w:val="auto"/>
          <w:sz w:val="24"/>
          <w:szCs w:val="24"/>
          <w:highlight w:val="none"/>
          <w:lang w:val="en-US" w:eastAsia="zh-CN"/>
        </w:rPr>
      </w:pPr>
      <w:r>
        <w:rPr>
          <w:rFonts w:hint="eastAsia"/>
          <w:color w:val="auto"/>
          <w:sz w:val="24"/>
          <w:szCs w:val="24"/>
          <w:highlight w:val="none"/>
        </w:rPr>
        <w:t>其中</w:t>
      </w:r>
      <w:r>
        <w:rPr>
          <w:color w:val="auto"/>
          <w:sz w:val="24"/>
          <w:szCs w:val="24"/>
          <w:highlight w:val="none"/>
          <w:lang w:val="en-US" w:eastAsia="zh-CN"/>
        </w:rPr>
        <w:t>F</w:t>
      </w:r>
      <w:r>
        <w:rPr>
          <w:rFonts w:hint="eastAsia"/>
          <w:color w:val="auto"/>
          <w:sz w:val="24"/>
          <w:szCs w:val="24"/>
          <w:highlight w:val="none"/>
        </w:rPr>
        <w:t>为本章前附表第</w:t>
      </w:r>
      <w:r>
        <w:rPr>
          <w:color w:val="auto"/>
          <w:sz w:val="24"/>
          <w:szCs w:val="24"/>
          <w:highlight w:val="none"/>
          <w:lang w:val="en-US" w:eastAsia="zh-CN"/>
        </w:rPr>
        <w:t xml:space="preserve">3.1 </w:t>
      </w:r>
      <w:r>
        <w:rPr>
          <w:color w:val="auto"/>
          <w:sz w:val="24"/>
          <w:szCs w:val="24"/>
          <w:highlight w:val="none"/>
        </w:rPr>
        <w:t>(3)</w:t>
      </w:r>
      <w:r>
        <w:rPr>
          <w:rFonts w:hint="eastAsia"/>
          <w:color w:val="auto"/>
          <w:sz w:val="24"/>
          <w:szCs w:val="24"/>
          <w:highlight w:val="none"/>
        </w:rPr>
        <w:t>项规定的报价所占的分值；</w:t>
      </w:r>
      <w:r>
        <w:rPr>
          <w:color w:val="auto"/>
          <w:sz w:val="24"/>
          <w:szCs w:val="24"/>
          <w:highlight w:val="none"/>
          <w:lang w:val="en-US" w:eastAsia="zh-CN"/>
        </w:rPr>
        <w:t>E</w:t>
      </w:r>
      <w:r>
        <w:rPr>
          <w:rFonts w:hint="eastAsia"/>
          <w:color w:val="auto"/>
          <w:sz w:val="24"/>
          <w:szCs w:val="24"/>
          <w:highlight w:val="none"/>
          <w:lang w:val="en-US" w:eastAsia="zh-CN"/>
        </w:rPr>
        <w:t>］</w:t>
      </w:r>
      <w:r>
        <w:rPr>
          <w:rFonts w:hint="eastAsia"/>
          <w:color w:val="auto"/>
          <w:sz w:val="24"/>
          <w:szCs w:val="24"/>
          <w:highlight w:val="none"/>
        </w:rPr>
        <w:t>是评审价格每高于</w:t>
      </w:r>
    </w:p>
    <w:p w14:paraId="6DF8007E">
      <w:pPr>
        <w:pStyle w:val="51"/>
        <w:spacing w:line="360" w:lineRule="auto"/>
        <w:rPr>
          <w:rFonts w:cs="Times New Roman"/>
          <w:color w:val="auto"/>
          <w:sz w:val="24"/>
          <w:szCs w:val="24"/>
          <w:highlight w:val="none"/>
        </w:rPr>
      </w:pPr>
      <w:r>
        <w:rPr>
          <w:rFonts w:hint="eastAsia"/>
          <w:color w:val="auto"/>
          <w:sz w:val="24"/>
          <w:szCs w:val="24"/>
          <w:highlight w:val="none"/>
        </w:rPr>
        <w:t>评审基准价一个百分点的扣分值、</w:t>
      </w:r>
      <w:r>
        <w:rPr>
          <w:color w:val="auto"/>
          <w:sz w:val="24"/>
          <w:szCs w:val="24"/>
          <w:highlight w:val="none"/>
          <w:lang w:val="en-US" w:eastAsia="zh-CN"/>
        </w:rPr>
        <w:t>E2</w:t>
      </w:r>
      <w:r>
        <w:rPr>
          <w:rFonts w:hint="eastAsia"/>
          <w:color w:val="auto"/>
          <w:sz w:val="24"/>
          <w:szCs w:val="24"/>
          <w:highlight w:val="none"/>
        </w:rPr>
        <w:t>是评审价格每低于评审基准价一个百分点的扣分值，</w:t>
      </w:r>
      <w:r>
        <w:rPr>
          <w:color w:val="auto"/>
          <w:sz w:val="24"/>
          <w:szCs w:val="24"/>
          <w:highlight w:val="none"/>
          <w:lang w:val="en-US" w:eastAsia="zh-CN"/>
        </w:rPr>
        <w:t>E1</w:t>
      </w:r>
      <w:r>
        <w:rPr>
          <w:rFonts w:hint="eastAsia"/>
          <w:color w:val="auto"/>
          <w:sz w:val="24"/>
          <w:szCs w:val="24"/>
          <w:highlight w:val="none"/>
        </w:rPr>
        <w:t>可大于或等于</w:t>
      </w:r>
      <w:r>
        <w:rPr>
          <w:color w:val="auto"/>
          <w:sz w:val="24"/>
          <w:szCs w:val="24"/>
          <w:highlight w:val="none"/>
          <w:lang w:val="en-US" w:eastAsia="zh-CN"/>
        </w:rPr>
        <w:t>E2</w:t>
      </w:r>
      <w:r>
        <w:rPr>
          <w:rFonts w:hint="eastAsia"/>
          <w:color w:val="auto"/>
          <w:sz w:val="24"/>
          <w:szCs w:val="24"/>
          <w:highlight w:val="none"/>
          <w:lang w:val="en-US" w:eastAsia="zh-CN"/>
        </w:rPr>
        <w:t>。</w:t>
      </w:r>
      <w:r>
        <w:rPr>
          <w:color w:val="auto"/>
          <w:sz w:val="24"/>
          <w:szCs w:val="24"/>
          <w:highlight w:val="none"/>
          <w:lang w:val="en-US" w:eastAsia="zh-CN"/>
        </w:rPr>
        <w:t>E1</w:t>
      </w:r>
      <w:r>
        <w:rPr>
          <w:rFonts w:hint="eastAsia"/>
          <w:color w:val="auto"/>
          <w:sz w:val="24"/>
          <w:szCs w:val="24"/>
          <w:highlight w:val="none"/>
          <w:lang w:val="en-US" w:eastAsia="zh-CN"/>
        </w:rPr>
        <w:t>、</w:t>
      </w:r>
      <w:r>
        <w:rPr>
          <w:color w:val="auto"/>
          <w:sz w:val="24"/>
          <w:szCs w:val="24"/>
          <w:highlight w:val="none"/>
          <w:lang w:val="en-US" w:eastAsia="zh-CN"/>
        </w:rPr>
        <w:t>E2</w:t>
      </w:r>
      <w:r>
        <w:rPr>
          <w:rFonts w:hint="eastAsia"/>
          <w:color w:val="auto"/>
          <w:sz w:val="24"/>
          <w:szCs w:val="24"/>
          <w:highlight w:val="none"/>
        </w:rPr>
        <w:t>的取值见评审办法前附表。</w:t>
      </w:r>
    </w:p>
    <w:p w14:paraId="6E276E2F">
      <w:pPr>
        <w:pStyle w:val="51"/>
        <w:spacing w:line="360" w:lineRule="auto"/>
        <w:ind w:firstLine="500"/>
        <w:rPr>
          <w:rFonts w:cs="Times New Roman"/>
          <w:color w:val="auto"/>
          <w:sz w:val="24"/>
          <w:szCs w:val="24"/>
          <w:highlight w:val="none"/>
        </w:rPr>
      </w:pPr>
      <w:r>
        <w:rPr>
          <w:rFonts w:hint="eastAsia"/>
          <w:color w:val="auto"/>
          <w:sz w:val="24"/>
          <w:szCs w:val="24"/>
          <w:highlight w:val="none"/>
        </w:rPr>
        <w:t>方法二：报价得分</w:t>
      </w:r>
      <w:r>
        <w:rPr>
          <w:color w:val="auto"/>
          <w:sz w:val="24"/>
          <w:szCs w:val="24"/>
          <w:highlight w:val="none"/>
        </w:rPr>
        <w:t>=(</w:t>
      </w:r>
      <w:r>
        <w:rPr>
          <w:rFonts w:hint="eastAsia"/>
          <w:color w:val="auto"/>
          <w:sz w:val="24"/>
          <w:szCs w:val="24"/>
          <w:highlight w:val="none"/>
        </w:rPr>
        <w:t>通过初步评审的所有</w:t>
      </w:r>
      <w:r>
        <w:rPr>
          <w:rFonts w:hint="eastAsia"/>
          <w:color w:val="auto"/>
          <w:sz w:val="24"/>
          <w:szCs w:val="24"/>
          <w:highlight w:val="none"/>
          <w:lang w:eastAsia="zh-CN"/>
        </w:rPr>
        <w:t>询比响应人</w:t>
      </w:r>
      <w:r>
        <w:rPr>
          <w:rFonts w:hint="eastAsia"/>
          <w:color w:val="auto"/>
          <w:sz w:val="24"/>
          <w:szCs w:val="24"/>
          <w:highlight w:val="none"/>
        </w:rPr>
        <w:t>的最低评审价格</w:t>
      </w:r>
      <w:r>
        <w:rPr>
          <w:color w:val="auto"/>
          <w:sz w:val="24"/>
          <w:szCs w:val="24"/>
          <w:highlight w:val="none"/>
        </w:rPr>
        <w:t>/</w:t>
      </w:r>
      <w:r>
        <w:rPr>
          <w:rFonts w:hint="eastAsia"/>
          <w:color w:val="auto"/>
          <w:sz w:val="24"/>
          <w:szCs w:val="24"/>
          <w:highlight w:val="none"/>
          <w:lang w:eastAsia="zh-CN"/>
        </w:rPr>
        <w:t>询比响应人</w:t>
      </w:r>
      <w:r>
        <w:rPr>
          <w:rFonts w:hint="eastAsia"/>
          <w:color w:val="auto"/>
          <w:sz w:val="24"/>
          <w:szCs w:val="24"/>
          <w:highlight w:val="none"/>
        </w:rPr>
        <w:t>评审价</w:t>
      </w:r>
      <w:r>
        <w:rPr>
          <w:color w:val="auto"/>
          <w:sz w:val="24"/>
          <w:szCs w:val="24"/>
          <w:highlight w:val="none"/>
        </w:rPr>
        <w:t xml:space="preserve"> </w:t>
      </w:r>
      <w:r>
        <w:rPr>
          <w:rFonts w:hint="eastAsia"/>
          <w:color w:val="auto"/>
          <w:sz w:val="24"/>
          <w:szCs w:val="24"/>
          <w:highlight w:val="none"/>
        </w:rPr>
        <w:t>格</w:t>
      </w:r>
      <w:r>
        <w:rPr>
          <w:color w:val="auto"/>
          <w:sz w:val="24"/>
          <w:szCs w:val="24"/>
          <w:highlight w:val="none"/>
        </w:rPr>
        <w:t>)</w:t>
      </w:r>
      <w:r>
        <w:rPr>
          <w:color w:val="auto"/>
          <w:sz w:val="24"/>
          <w:szCs w:val="24"/>
          <w:highlight w:val="none"/>
          <w:lang w:val="en-US" w:eastAsia="zh-CN"/>
        </w:rPr>
        <w:t>xF, F</w:t>
      </w:r>
      <w:r>
        <w:rPr>
          <w:rFonts w:hint="eastAsia"/>
          <w:color w:val="auto"/>
          <w:sz w:val="24"/>
          <w:szCs w:val="24"/>
          <w:highlight w:val="none"/>
        </w:rPr>
        <w:t>为本章前附表第</w:t>
      </w:r>
      <w:r>
        <w:rPr>
          <w:color w:val="auto"/>
          <w:sz w:val="24"/>
          <w:szCs w:val="24"/>
          <w:highlight w:val="none"/>
          <w:lang w:val="en-US" w:eastAsia="zh-CN"/>
        </w:rPr>
        <w:t xml:space="preserve">3.1 </w:t>
      </w:r>
      <w:r>
        <w:rPr>
          <w:color w:val="auto"/>
          <w:sz w:val="24"/>
          <w:szCs w:val="24"/>
          <w:highlight w:val="none"/>
        </w:rPr>
        <w:t>(3)</w:t>
      </w:r>
      <w:r>
        <w:rPr>
          <w:rFonts w:hint="eastAsia"/>
          <w:color w:val="auto"/>
          <w:sz w:val="24"/>
          <w:szCs w:val="24"/>
          <w:highlight w:val="none"/>
        </w:rPr>
        <w:t>项规定的报价所占的分值。</w:t>
      </w:r>
    </w:p>
    <w:p w14:paraId="0741D405">
      <w:pPr>
        <w:pStyle w:val="51"/>
        <w:spacing w:line="360" w:lineRule="auto"/>
        <w:ind w:firstLine="480" w:firstLineChars="200"/>
        <w:jc w:val="left"/>
        <w:rPr>
          <w:rFonts w:cs="Times New Roman"/>
          <w:color w:val="auto"/>
          <w:sz w:val="24"/>
          <w:szCs w:val="24"/>
          <w:highlight w:val="none"/>
        </w:rPr>
      </w:pPr>
      <w:r>
        <w:rPr>
          <w:rFonts w:hint="eastAsia"/>
          <w:color w:val="auto"/>
          <w:sz w:val="24"/>
          <w:szCs w:val="24"/>
          <w:highlight w:val="none"/>
        </w:rPr>
        <w:t>方法三：</w:t>
      </w:r>
      <w:r>
        <w:rPr>
          <w:rFonts w:hint="eastAsia"/>
          <w:color w:val="auto"/>
          <w:highlight w:val="none"/>
          <w:lang w:val="en-US" w:eastAsia="zh-CN"/>
        </w:rPr>
        <w:t>采购人</w:t>
      </w:r>
      <w:r>
        <w:rPr>
          <w:rFonts w:hint="eastAsia"/>
          <w:color w:val="auto"/>
          <w:sz w:val="24"/>
          <w:szCs w:val="24"/>
          <w:highlight w:val="none"/>
        </w:rPr>
        <w:t>确定的其他方法。</w:t>
      </w:r>
    </w:p>
    <w:p w14:paraId="30DCBC54">
      <w:pPr>
        <w:pStyle w:val="51"/>
        <w:spacing w:line="360" w:lineRule="auto"/>
        <w:ind w:firstLine="480" w:firstLineChars="200"/>
        <w:jc w:val="left"/>
        <w:rPr>
          <w:rFonts w:cs="Times New Roman"/>
          <w:color w:val="auto"/>
          <w:sz w:val="24"/>
          <w:szCs w:val="24"/>
          <w:highlight w:val="none"/>
        </w:rPr>
      </w:pPr>
      <w:r>
        <w:rPr>
          <w:rFonts w:hint="eastAsia"/>
          <w:color w:val="auto"/>
          <w:sz w:val="24"/>
          <w:szCs w:val="24"/>
          <w:highlight w:val="none"/>
        </w:rPr>
        <w:t>报价得分计算方法见评审办法前附表。</w:t>
      </w:r>
    </w:p>
    <w:p w14:paraId="15EC9C42">
      <w:pPr>
        <w:pStyle w:val="51"/>
        <w:spacing w:line="360" w:lineRule="auto"/>
        <w:ind w:firstLine="480" w:firstLineChars="200"/>
        <w:jc w:val="left"/>
        <w:rPr>
          <w:rFonts w:cs="Times New Roman"/>
          <w:color w:val="auto"/>
          <w:sz w:val="24"/>
          <w:szCs w:val="24"/>
          <w:highlight w:val="none"/>
        </w:rPr>
      </w:pPr>
      <w:r>
        <w:rPr>
          <w:color w:val="auto"/>
          <w:sz w:val="24"/>
          <w:szCs w:val="24"/>
          <w:highlight w:val="none"/>
        </w:rPr>
        <w:t>(4)</w:t>
      </w:r>
      <w:r>
        <w:rPr>
          <w:rFonts w:hint="eastAsia"/>
          <w:color w:val="auto"/>
          <w:sz w:val="24"/>
          <w:szCs w:val="24"/>
          <w:highlight w:val="none"/>
        </w:rPr>
        <w:t>其他因素评分标准：见评审办法前附表。</w:t>
      </w:r>
    </w:p>
    <w:p w14:paraId="05C69B44">
      <w:pPr>
        <w:pStyle w:val="51"/>
        <w:spacing w:line="360" w:lineRule="auto"/>
        <w:jc w:val="left"/>
        <w:rPr>
          <w:rFonts w:cs="Times New Roman"/>
          <w:color w:val="auto"/>
          <w:sz w:val="24"/>
          <w:szCs w:val="24"/>
          <w:highlight w:val="none"/>
        </w:rPr>
      </w:pPr>
      <w:r>
        <w:rPr>
          <w:color w:val="auto"/>
          <w:sz w:val="24"/>
          <w:szCs w:val="24"/>
          <w:highlight w:val="none"/>
          <w:lang w:val="en-US" w:eastAsia="zh-CN"/>
        </w:rPr>
        <w:t>3.4</w:t>
      </w:r>
      <w:r>
        <w:rPr>
          <w:rFonts w:hint="eastAsia"/>
          <w:color w:val="auto"/>
          <w:sz w:val="24"/>
          <w:szCs w:val="24"/>
          <w:highlight w:val="none"/>
        </w:rPr>
        <w:t>评分</w:t>
      </w:r>
    </w:p>
    <w:p w14:paraId="5695171C">
      <w:pPr>
        <w:pStyle w:val="51"/>
        <w:spacing w:line="360" w:lineRule="auto"/>
        <w:ind w:firstLine="500"/>
        <w:rPr>
          <w:rFonts w:cs="Times New Roman"/>
          <w:color w:val="auto"/>
          <w:sz w:val="24"/>
          <w:szCs w:val="24"/>
          <w:highlight w:val="none"/>
        </w:rPr>
      </w:pPr>
      <w:r>
        <w:rPr>
          <w:rFonts w:hint="eastAsia"/>
          <w:color w:val="auto"/>
          <w:sz w:val="24"/>
          <w:szCs w:val="24"/>
          <w:highlight w:val="none"/>
        </w:rPr>
        <w:t>评审小组成员按照评分标准独立对</w:t>
      </w:r>
      <w:r>
        <w:rPr>
          <w:rFonts w:hint="eastAsia"/>
          <w:color w:val="auto"/>
          <w:sz w:val="24"/>
          <w:szCs w:val="24"/>
          <w:highlight w:val="none"/>
          <w:lang w:eastAsia="zh-CN"/>
        </w:rPr>
        <w:t>询比响应人</w:t>
      </w:r>
      <w:r>
        <w:rPr>
          <w:rFonts w:hint="eastAsia"/>
          <w:color w:val="auto"/>
          <w:sz w:val="24"/>
          <w:szCs w:val="24"/>
          <w:highlight w:val="none"/>
        </w:rPr>
        <w:t>的商务、技术和其他因素进行评分。报</w:t>
      </w:r>
      <w:r>
        <w:rPr>
          <w:color w:val="auto"/>
          <w:sz w:val="24"/>
          <w:szCs w:val="24"/>
          <w:highlight w:val="none"/>
        </w:rPr>
        <w:t xml:space="preserve"> </w:t>
      </w:r>
      <w:r>
        <w:rPr>
          <w:rFonts w:hint="eastAsia"/>
          <w:color w:val="auto"/>
          <w:sz w:val="24"/>
          <w:szCs w:val="24"/>
          <w:highlight w:val="none"/>
        </w:rPr>
        <w:t>价评分由评审小组统一计算。各项得分汇总后为该成员给</w:t>
      </w:r>
      <w:r>
        <w:rPr>
          <w:rFonts w:hint="eastAsia"/>
          <w:color w:val="auto"/>
          <w:sz w:val="24"/>
          <w:szCs w:val="24"/>
          <w:highlight w:val="none"/>
          <w:lang w:eastAsia="zh-CN"/>
        </w:rPr>
        <w:t>询比响应人</w:t>
      </w:r>
      <w:r>
        <w:rPr>
          <w:rFonts w:hint="eastAsia"/>
          <w:color w:val="auto"/>
          <w:sz w:val="24"/>
          <w:szCs w:val="24"/>
          <w:highlight w:val="none"/>
        </w:rPr>
        <w:t>的评分总分。评分分</w:t>
      </w:r>
      <w:r>
        <w:rPr>
          <w:color w:val="auto"/>
          <w:sz w:val="24"/>
          <w:szCs w:val="24"/>
          <w:highlight w:val="none"/>
        </w:rPr>
        <w:t xml:space="preserve"> </w:t>
      </w:r>
      <w:r>
        <w:rPr>
          <w:rFonts w:hint="eastAsia"/>
          <w:color w:val="auto"/>
          <w:sz w:val="24"/>
          <w:szCs w:val="24"/>
          <w:highlight w:val="none"/>
        </w:rPr>
        <w:t>值计算保留小数点后两位，小数点后第三位</w:t>
      </w:r>
      <w:r>
        <w:rPr>
          <w:rFonts w:hint="eastAsia"/>
          <w:color w:val="auto"/>
          <w:sz w:val="24"/>
          <w:szCs w:val="24"/>
          <w:highlight w:val="none"/>
          <w:lang w:val="zh-CN" w:eastAsia="zh-CN"/>
        </w:rPr>
        <w:t>“四</w:t>
      </w:r>
      <w:r>
        <w:rPr>
          <w:rFonts w:hint="eastAsia"/>
          <w:color w:val="auto"/>
          <w:sz w:val="24"/>
          <w:szCs w:val="24"/>
          <w:highlight w:val="none"/>
        </w:rPr>
        <w:t>舍五入”。</w:t>
      </w:r>
    </w:p>
    <w:p w14:paraId="62BEA0E8">
      <w:pPr>
        <w:pStyle w:val="51"/>
        <w:spacing w:line="360" w:lineRule="auto"/>
        <w:jc w:val="left"/>
        <w:rPr>
          <w:rFonts w:cs="Times New Roman"/>
          <w:color w:val="auto"/>
          <w:sz w:val="24"/>
          <w:szCs w:val="24"/>
          <w:highlight w:val="none"/>
          <w:lang w:val="en-US" w:eastAsia="zh-CN"/>
        </w:rPr>
      </w:pPr>
      <w:r>
        <w:rPr>
          <w:color w:val="auto"/>
          <w:sz w:val="24"/>
          <w:szCs w:val="24"/>
          <w:highlight w:val="none"/>
          <w:lang w:val="en-US" w:eastAsia="zh-CN"/>
        </w:rPr>
        <w:t>3.5</w:t>
      </w:r>
      <w:r>
        <w:rPr>
          <w:rFonts w:hint="eastAsia"/>
          <w:color w:val="auto"/>
          <w:sz w:val="24"/>
          <w:szCs w:val="24"/>
          <w:highlight w:val="none"/>
          <w:lang w:val="en-US" w:eastAsia="zh-CN"/>
        </w:rPr>
        <w:t>汇总</w:t>
      </w:r>
    </w:p>
    <w:p w14:paraId="310BF916">
      <w:pPr>
        <w:pStyle w:val="51"/>
        <w:spacing w:line="360" w:lineRule="auto"/>
        <w:ind w:firstLine="500"/>
        <w:rPr>
          <w:rFonts w:cs="Times New Roman"/>
          <w:color w:val="auto"/>
          <w:sz w:val="24"/>
          <w:szCs w:val="24"/>
          <w:highlight w:val="none"/>
        </w:rPr>
      </w:pPr>
      <w:r>
        <w:rPr>
          <w:rFonts w:hint="eastAsia"/>
          <w:color w:val="auto"/>
          <w:sz w:val="24"/>
          <w:szCs w:val="24"/>
          <w:highlight w:val="none"/>
        </w:rPr>
        <w:t>评审小组汇总每个成员对</w:t>
      </w:r>
      <w:r>
        <w:rPr>
          <w:rFonts w:hint="eastAsia"/>
          <w:color w:val="auto"/>
          <w:sz w:val="24"/>
          <w:szCs w:val="24"/>
          <w:highlight w:val="none"/>
          <w:lang w:eastAsia="zh-CN"/>
        </w:rPr>
        <w:t>询比响应人</w:t>
      </w:r>
      <w:r>
        <w:rPr>
          <w:rFonts w:hint="eastAsia"/>
          <w:color w:val="auto"/>
          <w:sz w:val="24"/>
          <w:szCs w:val="24"/>
          <w:highlight w:val="none"/>
        </w:rPr>
        <w:t>的评分总分，每个</w:t>
      </w:r>
      <w:r>
        <w:rPr>
          <w:rFonts w:hint="eastAsia"/>
          <w:color w:val="auto"/>
          <w:sz w:val="24"/>
          <w:szCs w:val="24"/>
          <w:highlight w:val="none"/>
          <w:lang w:eastAsia="zh-CN"/>
        </w:rPr>
        <w:t>询比响应人</w:t>
      </w:r>
      <w:r>
        <w:rPr>
          <w:rFonts w:hint="eastAsia"/>
          <w:color w:val="auto"/>
          <w:sz w:val="24"/>
          <w:szCs w:val="24"/>
          <w:highlight w:val="none"/>
        </w:rPr>
        <w:t>的评分总分的算术平均</w:t>
      </w:r>
      <w:r>
        <w:rPr>
          <w:color w:val="auto"/>
          <w:sz w:val="24"/>
          <w:szCs w:val="24"/>
          <w:highlight w:val="none"/>
        </w:rPr>
        <w:t xml:space="preserve"> </w:t>
      </w:r>
      <w:r>
        <w:rPr>
          <w:rFonts w:hint="eastAsia"/>
          <w:color w:val="auto"/>
          <w:sz w:val="24"/>
          <w:szCs w:val="24"/>
          <w:highlight w:val="none"/>
        </w:rPr>
        <w:t>值为</w:t>
      </w:r>
      <w:r>
        <w:rPr>
          <w:rFonts w:hint="eastAsia"/>
          <w:color w:val="auto"/>
          <w:sz w:val="24"/>
          <w:szCs w:val="24"/>
          <w:highlight w:val="none"/>
          <w:lang w:eastAsia="zh-CN"/>
        </w:rPr>
        <w:t>询比响应人</w:t>
      </w:r>
      <w:r>
        <w:rPr>
          <w:rFonts w:hint="eastAsia"/>
          <w:color w:val="auto"/>
          <w:sz w:val="24"/>
          <w:szCs w:val="24"/>
          <w:highlight w:val="none"/>
        </w:rPr>
        <w:t>最终得分。</w:t>
      </w:r>
    </w:p>
    <w:p w14:paraId="09A0BADF">
      <w:pPr>
        <w:pStyle w:val="51"/>
        <w:spacing w:line="360" w:lineRule="auto"/>
        <w:jc w:val="left"/>
        <w:rPr>
          <w:rFonts w:cs="Times New Roman"/>
          <w:color w:val="auto"/>
          <w:sz w:val="24"/>
          <w:szCs w:val="24"/>
          <w:highlight w:val="none"/>
          <w:lang w:val="en-US" w:eastAsia="zh-CN"/>
        </w:rPr>
      </w:pPr>
      <w:r>
        <w:rPr>
          <w:color w:val="auto"/>
          <w:sz w:val="24"/>
          <w:szCs w:val="24"/>
          <w:highlight w:val="none"/>
          <w:lang w:val="en-US" w:eastAsia="zh-CN"/>
        </w:rPr>
        <w:t>3.6</w:t>
      </w:r>
      <w:r>
        <w:rPr>
          <w:rFonts w:hint="eastAsia"/>
          <w:color w:val="auto"/>
          <w:sz w:val="24"/>
          <w:szCs w:val="24"/>
          <w:highlight w:val="none"/>
          <w:lang w:val="en-US" w:eastAsia="zh-CN"/>
        </w:rPr>
        <w:t>排序</w:t>
      </w:r>
    </w:p>
    <w:p w14:paraId="05D6033A">
      <w:pPr>
        <w:pStyle w:val="51"/>
        <w:spacing w:line="360" w:lineRule="auto"/>
        <w:ind w:firstLine="500"/>
        <w:rPr>
          <w:rFonts w:cs="Times New Roman"/>
          <w:color w:val="auto"/>
          <w:sz w:val="24"/>
          <w:szCs w:val="24"/>
          <w:highlight w:val="none"/>
        </w:rPr>
      </w:pPr>
      <w:r>
        <w:rPr>
          <w:rFonts w:hint="eastAsia"/>
          <w:color w:val="auto"/>
          <w:sz w:val="24"/>
          <w:szCs w:val="24"/>
          <w:highlight w:val="none"/>
        </w:rPr>
        <w:t>评审小组对</w:t>
      </w:r>
      <w:r>
        <w:rPr>
          <w:rFonts w:hint="eastAsia"/>
          <w:color w:val="auto"/>
          <w:sz w:val="24"/>
          <w:szCs w:val="24"/>
          <w:highlight w:val="none"/>
          <w:lang w:eastAsia="zh-CN"/>
        </w:rPr>
        <w:t>询比响应人</w:t>
      </w:r>
      <w:r>
        <w:rPr>
          <w:rFonts w:hint="eastAsia"/>
          <w:color w:val="auto"/>
          <w:sz w:val="24"/>
          <w:szCs w:val="24"/>
          <w:highlight w:val="none"/>
        </w:rPr>
        <w:t>最终得分进行比较后，可以按照</w:t>
      </w:r>
      <w:r>
        <w:rPr>
          <w:rFonts w:hint="eastAsia"/>
          <w:color w:val="auto"/>
          <w:sz w:val="24"/>
          <w:szCs w:val="24"/>
          <w:highlight w:val="none"/>
          <w:lang w:eastAsia="zh-CN"/>
        </w:rPr>
        <w:t>询比响应人</w:t>
      </w:r>
      <w:r>
        <w:rPr>
          <w:rFonts w:hint="eastAsia"/>
          <w:color w:val="auto"/>
          <w:sz w:val="24"/>
          <w:szCs w:val="24"/>
          <w:highlight w:val="none"/>
        </w:rPr>
        <w:t>最终得分由高到低的顺</w:t>
      </w:r>
      <w:r>
        <w:rPr>
          <w:color w:val="auto"/>
          <w:sz w:val="24"/>
          <w:szCs w:val="24"/>
          <w:highlight w:val="none"/>
        </w:rPr>
        <w:t xml:space="preserve"> </w:t>
      </w:r>
      <w:r>
        <w:rPr>
          <w:rFonts w:hint="eastAsia"/>
          <w:color w:val="auto"/>
          <w:sz w:val="24"/>
          <w:szCs w:val="24"/>
          <w:highlight w:val="none"/>
        </w:rPr>
        <w:t>序对</w:t>
      </w:r>
      <w:r>
        <w:rPr>
          <w:rFonts w:hint="eastAsia"/>
          <w:color w:val="auto"/>
          <w:sz w:val="24"/>
          <w:szCs w:val="24"/>
          <w:highlight w:val="none"/>
          <w:lang w:eastAsia="zh-CN"/>
        </w:rPr>
        <w:t>询比响应人</w:t>
      </w:r>
      <w:r>
        <w:rPr>
          <w:rFonts w:hint="eastAsia"/>
          <w:color w:val="auto"/>
          <w:sz w:val="24"/>
          <w:szCs w:val="24"/>
          <w:highlight w:val="none"/>
        </w:rPr>
        <w:t>排序。最终得分相等时，以评审价格低的优先；评审价格也相等的，以技</w:t>
      </w:r>
      <w:r>
        <w:rPr>
          <w:color w:val="auto"/>
          <w:sz w:val="24"/>
          <w:szCs w:val="24"/>
          <w:highlight w:val="none"/>
        </w:rPr>
        <w:t xml:space="preserve"> </w:t>
      </w:r>
      <w:r>
        <w:rPr>
          <w:rFonts w:hint="eastAsia"/>
          <w:color w:val="auto"/>
          <w:sz w:val="24"/>
          <w:szCs w:val="24"/>
          <w:highlight w:val="none"/>
        </w:rPr>
        <w:t>术得分高的优先；如果技术得分也相等，按照评审办法前附表的规定确定</w:t>
      </w:r>
      <w:r>
        <w:rPr>
          <w:rFonts w:hint="eastAsia"/>
          <w:color w:val="auto"/>
          <w:sz w:val="24"/>
          <w:szCs w:val="24"/>
          <w:highlight w:val="none"/>
          <w:lang w:eastAsia="zh-CN"/>
        </w:rPr>
        <w:t>询比响应人</w:t>
      </w:r>
      <w:r>
        <w:rPr>
          <w:rFonts w:hint="eastAsia"/>
          <w:color w:val="auto"/>
          <w:sz w:val="24"/>
          <w:szCs w:val="24"/>
          <w:highlight w:val="none"/>
        </w:rPr>
        <w:t>优先</w:t>
      </w:r>
      <w:r>
        <w:rPr>
          <w:color w:val="auto"/>
          <w:sz w:val="24"/>
          <w:szCs w:val="24"/>
          <w:highlight w:val="none"/>
        </w:rPr>
        <w:t xml:space="preserve"> </w:t>
      </w:r>
      <w:r>
        <w:rPr>
          <w:rFonts w:hint="eastAsia"/>
          <w:color w:val="auto"/>
          <w:sz w:val="24"/>
          <w:szCs w:val="24"/>
          <w:highlight w:val="none"/>
        </w:rPr>
        <w:t>顺序。</w:t>
      </w:r>
    </w:p>
    <w:p w14:paraId="57966EEC">
      <w:pPr>
        <w:pStyle w:val="51"/>
        <w:spacing w:line="360" w:lineRule="auto"/>
        <w:jc w:val="left"/>
        <w:rPr>
          <w:rFonts w:cs="Times New Roman"/>
          <w:color w:val="auto"/>
          <w:sz w:val="24"/>
          <w:szCs w:val="24"/>
          <w:highlight w:val="none"/>
          <w:lang w:val="en-US" w:eastAsia="zh-CN"/>
        </w:rPr>
      </w:pPr>
      <w:bookmarkStart w:id="176" w:name="bookmark1124"/>
      <w:bookmarkStart w:id="177" w:name="bookmark1126"/>
      <w:bookmarkStart w:id="178" w:name="bookmark1125"/>
      <w:r>
        <w:rPr>
          <w:color w:val="auto"/>
          <w:sz w:val="24"/>
          <w:szCs w:val="24"/>
          <w:highlight w:val="none"/>
          <w:lang w:val="en-US" w:eastAsia="zh-CN"/>
        </w:rPr>
        <w:t>3.7</w:t>
      </w:r>
      <w:r>
        <w:rPr>
          <w:rFonts w:hint="eastAsia"/>
          <w:color w:val="auto"/>
          <w:sz w:val="24"/>
          <w:szCs w:val="24"/>
          <w:highlight w:val="none"/>
          <w:lang w:val="en-US" w:eastAsia="zh-CN"/>
        </w:rPr>
        <w:t>特殊情形处理</w:t>
      </w:r>
      <w:bookmarkEnd w:id="176"/>
      <w:bookmarkEnd w:id="177"/>
      <w:bookmarkEnd w:id="178"/>
    </w:p>
    <w:p w14:paraId="681E02D4">
      <w:pPr>
        <w:pStyle w:val="51"/>
        <w:spacing w:line="360" w:lineRule="auto"/>
        <w:ind w:firstLine="500"/>
        <w:rPr>
          <w:rFonts w:cs="Times New Roman"/>
          <w:color w:val="auto"/>
          <w:sz w:val="24"/>
          <w:szCs w:val="24"/>
          <w:highlight w:val="none"/>
        </w:rPr>
      </w:pPr>
      <w:r>
        <w:rPr>
          <w:rFonts w:hint="eastAsia"/>
          <w:color w:val="auto"/>
          <w:sz w:val="24"/>
          <w:szCs w:val="24"/>
          <w:highlight w:val="none"/>
        </w:rPr>
        <w:t>当通过初步评审的</w:t>
      </w:r>
      <w:r>
        <w:rPr>
          <w:rFonts w:hint="eastAsia"/>
          <w:color w:val="auto"/>
          <w:sz w:val="24"/>
          <w:szCs w:val="24"/>
          <w:highlight w:val="none"/>
          <w:lang w:eastAsia="zh-CN"/>
        </w:rPr>
        <w:t>询比响应人</w:t>
      </w:r>
      <w:r>
        <w:rPr>
          <w:rFonts w:hint="eastAsia"/>
          <w:color w:val="auto"/>
          <w:sz w:val="24"/>
          <w:szCs w:val="24"/>
          <w:highlight w:val="none"/>
        </w:rPr>
        <w:t>数量未超过询比采购公告</w:t>
      </w:r>
      <w:r>
        <w:rPr>
          <w:color w:val="auto"/>
          <w:sz w:val="24"/>
          <w:szCs w:val="24"/>
          <w:highlight w:val="none"/>
        </w:rPr>
        <w:t>/</w:t>
      </w:r>
      <w:r>
        <w:rPr>
          <w:rFonts w:hint="eastAsia"/>
          <w:color w:val="auto"/>
          <w:sz w:val="24"/>
          <w:szCs w:val="24"/>
          <w:highlight w:val="none"/>
        </w:rPr>
        <w:t>询比采购邀请书第</w:t>
      </w:r>
      <w:r>
        <w:rPr>
          <w:color w:val="auto"/>
          <w:sz w:val="24"/>
          <w:szCs w:val="24"/>
          <w:highlight w:val="none"/>
          <w:lang w:val="en-US" w:eastAsia="zh-CN"/>
        </w:rPr>
        <w:t xml:space="preserve">1. </w:t>
      </w:r>
      <w:r>
        <w:rPr>
          <w:color w:val="auto"/>
          <w:sz w:val="24"/>
          <w:szCs w:val="24"/>
          <w:highlight w:val="none"/>
        </w:rPr>
        <w:t>6</w:t>
      </w:r>
      <w:r>
        <w:rPr>
          <w:rFonts w:hint="eastAsia"/>
          <w:color w:val="auto"/>
          <w:sz w:val="24"/>
          <w:szCs w:val="24"/>
          <w:highlight w:val="none"/>
        </w:rPr>
        <w:t>款规定</w:t>
      </w:r>
      <w:r>
        <w:rPr>
          <w:color w:val="auto"/>
          <w:sz w:val="24"/>
          <w:szCs w:val="24"/>
          <w:highlight w:val="none"/>
        </w:rPr>
        <w:t xml:space="preserve"> </w:t>
      </w:r>
      <w:r>
        <w:rPr>
          <w:rFonts w:hint="eastAsia"/>
          <w:color w:val="auto"/>
          <w:sz w:val="24"/>
          <w:szCs w:val="24"/>
          <w:highlight w:val="none"/>
        </w:rPr>
        <w:t>的成交</w:t>
      </w:r>
      <w:r>
        <w:rPr>
          <w:rFonts w:hint="eastAsia"/>
          <w:color w:val="auto"/>
          <w:sz w:val="24"/>
          <w:szCs w:val="24"/>
          <w:highlight w:val="none"/>
          <w:lang w:eastAsia="zh-CN"/>
        </w:rPr>
        <w:t>询比响应人</w:t>
      </w:r>
      <w:r>
        <w:rPr>
          <w:rFonts w:hint="eastAsia"/>
          <w:color w:val="auto"/>
          <w:sz w:val="24"/>
          <w:szCs w:val="24"/>
          <w:highlight w:val="none"/>
        </w:rPr>
        <w:t>数量、评审小组认为</w:t>
      </w:r>
      <w:r>
        <w:rPr>
          <w:rFonts w:hint="eastAsia"/>
          <w:color w:val="auto"/>
          <w:sz w:val="24"/>
          <w:szCs w:val="24"/>
          <w:highlight w:val="none"/>
          <w:lang w:eastAsia="zh-CN"/>
        </w:rPr>
        <w:t>询比响应人</w:t>
      </w:r>
      <w:r>
        <w:rPr>
          <w:rFonts w:hint="eastAsia"/>
          <w:color w:val="auto"/>
          <w:sz w:val="24"/>
          <w:szCs w:val="24"/>
          <w:highlight w:val="none"/>
        </w:rPr>
        <w:t>的响应报价合理且物有所值时，不再进行详</w:t>
      </w:r>
      <w:r>
        <w:rPr>
          <w:color w:val="auto"/>
          <w:sz w:val="24"/>
          <w:szCs w:val="24"/>
          <w:highlight w:val="none"/>
        </w:rPr>
        <w:t xml:space="preserve"> </w:t>
      </w:r>
      <w:r>
        <w:rPr>
          <w:rFonts w:hint="eastAsia"/>
          <w:color w:val="auto"/>
          <w:sz w:val="24"/>
          <w:szCs w:val="24"/>
          <w:highlight w:val="none"/>
        </w:rPr>
        <w:t>细评审，直接推荐上述</w:t>
      </w:r>
      <w:r>
        <w:rPr>
          <w:rFonts w:hint="eastAsia"/>
          <w:color w:val="auto"/>
          <w:sz w:val="24"/>
          <w:szCs w:val="24"/>
          <w:highlight w:val="none"/>
          <w:lang w:eastAsia="zh-CN"/>
        </w:rPr>
        <w:t>询比响应人</w:t>
      </w:r>
      <w:r>
        <w:rPr>
          <w:rFonts w:hint="eastAsia"/>
          <w:color w:val="auto"/>
          <w:sz w:val="24"/>
          <w:szCs w:val="24"/>
          <w:highlight w:val="none"/>
        </w:rPr>
        <w:t>为候选成交</w:t>
      </w:r>
      <w:r>
        <w:rPr>
          <w:rFonts w:hint="eastAsia"/>
          <w:color w:val="auto"/>
          <w:sz w:val="24"/>
          <w:szCs w:val="24"/>
          <w:highlight w:val="none"/>
          <w:lang w:eastAsia="zh-CN"/>
        </w:rPr>
        <w:t>询比响应人</w:t>
      </w:r>
      <w:r>
        <w:rPr>
          <w:rFonts w:hint="eastAsia"/>
          <w:color w:val="auto"/>
          <w:sz w:val="24"/>
          <w:szCs w:val="24"/>
          <w:highlight w:val="none"/>
        </w:rPr>
        <w:t>。</w:t>
      </w:r>
    </w:p>
    <w:p w14:paraId="7C130174">
      <w:pPr>
        <w:pStyle w:val="3"/>
        <w:rPr>
          <w:rFonts w:ascii="宋体" w:cs="Times New Roman"/>
          <w:color w:val="auto"/>
          <w:highlight w:val="none"/>
        </w:rPr>
      </w:pPr>
      <w:bookmarkStart w:id="179" w:name="bookmark1127"/>
      <w:bookmarkStart w:id="180" w:name="_Toc28877"/>
      <w:bookmarkStart w:id="181" w:name="_Toc14632"/>
      <w:bookmarkStart w:id="182" w:name="bookmark1128"/>
      <w:bookmarkStart w:id="183" w:name="bookmark1129"/>
      <w:r>
        <w:rPr>
          <w:rFonts w:ascii="宋体" w:hAnsi="宋体" w:cs="宋体"/>
          <w:color w:val="auto"/>
          <w:highlight w:val="none"/>
        </w:rPr>
        <w:t>4</w:t>
      </w:r>
      <w:r>
        <w:rPr>
          <w:rFonts w:hint="eastAsia" w:ascii="宋体" w:hAnsi="宋体" w:cs="宋体"/>
          <w:color w:val="auto"/>
          <w:highlight w:val="none"/>
        </w:rPr>
        <w:t>评审结果</w:t>
      </w:r>
      <w:bookmarkEnd w:id="179"/>
      <w:bookmarkEnd w:id="180"/>
      <w:bookmarkEnd w:id="181"/>
      <w:bookmarkEnd w:id="182"/>
      <w:bookmarkEnd w:id="183"/>
    </w:p>
    <w:p w14:paraId="78098EA2">
      <w:pPr>
        <w:pStyle w:val="55"/>
        <w:spacing w:after="0" w:line="360" w:lineRule="auto"/>
        <w:ind w:firstLine="0"/>
        <w:rPr>
          <w:rFonts w:cs="Times New Roman"/>
          <w:color w:val="auto"/>
          <w:sz w:val="24"/>
          <w:szCs w:val="24"/>
          <w:highlight w:val="none"/>
        </w:rPr>
      </w:pPr>
      <w:bookmarkStart w:id="184" w:name="bookmark1131"/>
      <w:bookmarkStart w:id="185" w:name="bookmark1132"/>
      <w:bookmarkStart w:id="186" w:name="bookmark1130"/>
      <w:r>
        <w:rPr>
          <w:color w:val="auto"/>
          <w:sz w:val="24"/>
          <w:szCs w:val="24"/>
          <w:highlight w:val="none"/>
          <w:lang w:val="en-US" w:eastAsia="zh-CN"/>
        </w:rPr>
        <w:t>4.1</w:t>
      </w:r>
      <w:r>
        <w:rPr>
          <w:rFonts w:hint="eastAsia"/>
          <w:color w:val="auto"/>
          <w:sz w:val="24"/>
          <w:szCs w:val="24"/>
          <w:highlight w:val="none"/>
        </w:rPr>
        <w:t>提交书面评审报告</w:t>
      </w:r>
      <w:bookmarkEnd w:id="184"/>
      <w:bookmarkEnd w:id="185"/>
      <w:bookmarkEnd w:id="186"/>
    </w:p>
    <w:p w14:paraId="0F1E159C">
      <w:pPr>
        <w:pStyle w:val="51"/>
        <w:spacing w:line="360" w:lineRule="auto"/>
        <w:ind w:firstLine="760"/>
        <w:jc w:val="left"/>
        <w:rPr>
          <w:rFonts w:cs="Times New Roman"/>
          <w:color w:val="auto"/>
          <w:sz w:val="24"/>
          <w:szCs w:val="24"/>
          <w:highlight w:val="none"/>
        </w:rPr>
      </w:pPr>
      <w:r>
        <w:rPr>
          <w:rFonts w:hint="eastAsia"/>
          <w:color w:val="auto"/>
          <w:sz w:val="24"/>
          <w:szCs w:val="24"/>
          <w:highlight w:val="none"/>
        </w:rPr>
        <w:t>评审小组完成评审后，应当向</w:t>
      </w:r>
      <w:r>
        <w:rPr>
          <w:rFonts w:hint="eastAsia"/>
          <w:color w:val="auto"/>
          <w:highlight w:val="none"/>
          <w:lang w:val="en-US" w:eastAsia="zh-CN"/>
        </w:rPr>
        <w:t>采购人</w:t>
      </w:r>
      <w:r>
        <w:rPr>
          <w:rFonts w:hint="eastAsia"/>
          <w:color w:val="auto"/>
          <w:sz w:val="24"/>
          <w:szCs w:val="24"/>
          <w:highlight w:val="none"/>
        </w:rPr>
        <w:t>提交书面评审报告。</w:t>
      </w:r>
    </w:p>
    <w:p w14:paraId="5F818591">
      <w:pPr>
        <w:pStyle w:val="55"/>
        <w:spacing w:after="0" w:line="360" w:lineRule="auto"/>
        <w:ind w:firstLine="0"/>
        <w:rPr>
          <w:rFonts w:cs="Times New Roman"/>
          <w:color w:val="auto"/>
          <w:sz w:val="24"/>
          <w:szCs w:val="24"/>
          <w:highlight w:val="none"/>
        </w:rPr>
      </w:pPr>
      <w:bookmarkStart w:id="187" w:name="bookmark1135"/>
      <w:bookmarkEnd w:id="187"/>
      <w:bookmarkStart w:id="188" w:name="bookmark1134"/>
      <w:bookmarkStart w:id="189" w:name="bookmark1136"/>
      <w:bookmarkStart w:id="190" w:name="bookmark1133"/>
      <w:r>
        <w:rPr>
          <w:color w:val="auto"/>
          <w:sz w:val="24"/>
          <w:szCs w:val="24"/>
          <w:highlight w:val="none"/>
          <w:lang w:val="en-US" w:eastAsia="zh-CN"/>
        </w:rPr>
        <w:t>4.</w:t>
      </w:r>
      <w:r>
        <w:rPr>
          <w:color w:val="auto"/>
          <w:sz w:val="24"/>
          <w:szCs w:val="24"/>
          <w:highlight w:val="none"/>
        </w:rPr>
        <w:t>2</w:t>
      </w:r>
      <w:r>
        <w:rPr>
          <w:rFonts w:hint="eastAsia"/>
          <w:color w:val="auto"/>
          <w:sz w:val="24"/>
          <w:szCs w:val="24"/>
          <w:highlight w:val="none"/>
        </w:rPr>
        <w:t>推荐候选成交</w:t>
      </w:r>
      <w:r>
        <w:rPr>
          <w:rFonts w:hint="eastAsia"/>
          <w:color w:val="auto"/>
          <w:sz w:val="24"/>
          <w:szCs w:val="24"/>
          <w:highlight w:val="none"/>
          <w:lang w:eastAsia="zh-CN"/>
        </w:rPr>
        <w:t>询比响应人</w:t>
      </w:r>
      <w:r>
        <w:rPr>
          <w:rFonts w:hint="eastAsia"/>
          <w:color w:val="auto"/>
          <w:sz w:val="24"/>
          <w:szCs w:val="24"/>
          <w:highlight w:val="none"/>
        </w:rPr>
        <w:t>排序要求及数量</w:t>
      </w:r>
      <w:bookmarkEnd w:id="188"/>
      <w:bookmarkEnd w:id="189"/>
      <w:bookmarkEnd w:id="190"/>
    </w:p>
    <w:p w14:paraId="145BB663">
      <w:pPr>
        <w:pStyle w:val="51"/>
        <w:spacing w:line="360" w:lineRule="auto"/>
        <w:ind w:firstLine="500"/>
        <w:rPr>
          <w:rFonts w:cs="Times New Roman"/>
          <w:color w:val="auto"/>
          <w:sz w:val="24"/>
          <w:szCs w:val="24"/>
          <w:highlight w:val="none"/>
        </w:rPr>
      </w:pPr>
      <w:r>
        <w:rPr>
          <w:rFonts w:hint="eastAsia"/>
          <w:color w:val="auto"/>
          <w:sz w:val="24"/>
          <w:szCs w:val="24"/>
          <w:highlight w:val="none"/>
        </w:rPr>
        <w:t>评审小组应在书面评审报告中按照</w:t>
      </w:r>
      <w:r>
        <w:rPr>
          <w:rFonts w:hint="eastAsia"/>
          <w:color w:val="auto"/>
          <w:sz w:val="24"/>
          <w:szCs w:val="24"/>
          <w:highlight w:val="none"/>
          <w:lang w:eastAsia="zh-CN"/>
        </w:rPr>
        <w:t>询比响应人</w:t>
      </w:r>
      <w:r>
        <w:rPr>
          <w:rFonts w:hint="eastAsia"/>
          <w:color w:val="auto"/>
          <w:sz w:val="24"/>
          <w:szCs w:val="24"/>
          <w:highlight w:val="none"/>
        </w:rPr>
        <w:t>排列的优先顺序向</w:t>
      </w:r>
      <w:r>
        <w:rPr>
          <w:rFonts w:hint="eastAsia"/>
          <w:color w:val="auto"/>
          <w:highlight w:val="none"/>
          <w:lang w:val="en-US" w:eastAsia="zh-CN"/>
        </w:rPr>
        <w:t>采购人</w:t>
      </w:r>
      <w:r>
        <w:rPr>
          <w:rFonts w:hint="eastAsia"/>
          <w:color w:val="auto"/>
          <w:sz w:val="24"/>
          <w:szCs w:val="24"/>
          <w:highlight w:val="none"/>
        </w:rPr>
        <w:t>推荐候选成交供</w:t>
      </w:r>
      <w:r>
        <w:rPr>
          <w:color w:val="auto"/>
          <w:sz w:val="24"/>
          <w:szCs w:val="24"/>
          <w:highlight w:val="none"/>
        </w:rPr>
        <w:t xml:space="preserve"> </w:t>
      </w:r>
      <w:r>
        <w:rPr>
          <w:rFonts w:hint="eastAsia"/>
          <w:color w:val="auto"/>
          <w:sz w:val="24"/>
          <w:szCs w:val="24"/>
          <w:highlight w:val="none"/>
        </w:rPr>
        <w:t>应商</w:t>
      </w:r>
      <w:r>
        <w:rPr>
          <w:color w:val="auto"/>
          <w:sz w:val="24"/>
          <w:szCs w:val="24"/>
          <w:highlight w:val="none"/>
        </w:rPr>
        <w:t>(</w:t>
      </w:r>
      <w:r>
        <w:rPr>
          <w:rFonts w:hint="eastAsia"/>
          <w:color w:val="auto"/>
          <w:sz w:val="24"/>
          <w:szCs w:val="24"/>
          <w:highlight w:val="none"/>
        </w:rPr>
        <w:t>排序或不排序</w:t>
      </w:r>
      <w:r>
        <w:rPr>
          <w:color w:val="auto"/>
          <w:sz w:val="24"/>
          <w:szCs w:val="24"/>
          <w:highlight w:val="none"/>
        </w:rPr>
        <w:t>)</w:t>
      </w:r>
      <w:r>
        <w:rPr>
          <w:rFonts w:hint="eastAsia"/>
          <w:color w:val="auto"/>
          <w:sz w:val="24"/>
          <w:szCs w:val="24"/>
          <w:highlight w:val="none"/>
        </w:rPr>
        <w:t>。候选成交</w:t>
      </w:r>
      <w:r>
        <w:rPr>
          <w:rFonts w:hint="eastAsia"/>
          <w:color w:val="auto"/>
          <w:sz w:val="24"/>
          <w:szCs w:val="24"/>
          <w:highlight w:val="none"/>
          <w:lang w:eastAsia="zh-CN"/>
        </w:rPr>
        <w:t>询比响应人</w:t>
      </w:r>
      <w:r>
        <w:rPr>
          <w:rFonts w:hint="eastAsia"/>
          <w:color w:val="auto"/>
          <w:sz w:val="24"/>
          <w:szCs w:val="24"/>
          <w:highlight w:val="none"/>
        </w:rPr>
        <w:t>的排序要求及数量见第二章</w:t>
      </w:r>
      <w:r>
        <w:rPr>
          <w:rFonts w:hint="eastAsia"/>
          <w:color w:val="auto"/>
          <w:sz w:val="24"/>
          <w:szCs w:val="24"/>
          <w:highlight w:val="none"/>
          <w:lang w:val="zh-CN" w:eastAsia="zh-CN"/>
        </w:rPr>
        <w:t>“询比响应人</w:t>
      </w:r>
      <w:r>
        <w:rPr>
          <w:rFonts w:hint="eastAsia"/>
          <w:color w:val="auto"/>
          <w:sz w:val="24"/>
          <w:szCs w:val="24"/>
          <w:highlight w:val="none"/>
        </w:rPr>
        <w:t>须知”。</w:t>
      </w:r>
    </w:p>
    <w:p w14:paraId="202C8692">
      <w:pPr>
        <w:pStyle w:val="3"/>
        <w:rPr>
          <w:rFonts w:ascii="宋体" w:cs="Times New Roman"/>
          <w:color w:val="auto"/>
          <w:highlight w:val="none"/>
        </w:rPr>
      </w:pPr>
      <w:bookmarkStart w:id="191" w:name="_Toc20710"/>
      <w:bookmarkStart w:id="192" w:name="_Toc13036"/>
      <w:bookmarkStart w:id="193" w:name="bookmark1138"/>
      <w:bookmarkStart w:id="194" w:name="bookmark1137"/>
      <w:bookmarkStart w:id="195" w:name="bookmark1139"/>
      <w:r>
        <w:rPr>
          <w:rFonts w:ascii="宋体" w:hAnsi="宋体" w:cs="宋体"/>
          <w:color w:val="auto"/>
          <w:highlight w:val="none"/>
        </w:rPr>
        <w:t>5</w:t>
      </w:r>
      <w:r>
        <w:rPr>
          <w:rFonts w:hint="eastAsia" w:ascii="宋体" w:hAnsi="宋体" w:cs="宋体"/>
          <w:color w:val="auto"/>
          <w:highlight w:val="none"/>
        </w:rPr>
        <w:t>直接转换采购方式评审程序</w:t>
      </w:r>
      <w:bookmarkEnd w:id="191"/>
      <w:bookmarkEnd w:id="192"/>
      <w:bookmarkEnd w:id="193"/>
      <w:bookmarkEnd w:id="194"/>
      <w:bookmarkEnd w:id="195"/>
    </w:p>
    <w:p w14:paraId="5620BE0C">
      <w:pPr>
        <w:pStyle w:val="55"/>
        <w:spacing w:after="0" w:line="360" w:lineRule="auto"/>
        <w:ind w:firstLine="0"/>
        <w:rPr>
          <w:rFonts w:cs="Times New Roman"/>
          <w:color w:val="auto"/>
          <w:sz w:val="24"/>
          <w:szCs w:val="24"/>
          <w:highlight w:val="none"/>
        </w:rPr>
      </w:pPr>
      <w:bookmarkStart w:id="196" w:name="bookmark1141"/>
      <w:bookmarkStart w:id="197" w:name="bookmark1142"/>
      <w:bookmarkStart w:id="198" w:name="bookmark1140"/>
      <w:r>
        <w:rPr>
          <w:color w:val="auto"/>
          <w:sz w:val="24"/>
          <w:szCs w:val="24"/>
          <w:highlight w:val="none"/>
          <w:lang w:val="en-US" w:eastAsia="zh-CN"/>
        </w:rPr>
        <w:t>5.1</w:t>
      </w:r>
      <w:r>
        <w:rPr>
          <w:rFonts w:hint="eastAsia"/>
          <w:color w:val="auto"/>
          <w:sz w:val="24"/>
          <w:szCs w:val="24"/>
          <w:highlight w:val="none"/>
        </w:rPr>
        <w:t>初步评审</w:t>
      </w:r>
      <w:bookmarkEnd w:id="196"/>
      <w:bookmarkEnd w:id="197"/>
      <w:bookmarkEnd w:id="198"/>
    </w:p>
    <w:p w14:paraId="0FE52223">
      <w:pPr>
        <w:pStyle w:val="51"/>
        <w:tabs>
          <w:tab w:val="left" w:pos="368"/>
        </w:tabs>
        <w:spacing w:line="360" w:lineRule="auto"/>
        <w:rPr>
          <w:rFonts w:cs="Times New Roman"/>
          <w:color w:val="auto"/>
          <w:sz w:val="24"/>
          <w:szCs w:val="24"/>
          <w:highlight w:val="none"/>
        </w:rPr>
      </w:pPr>
      <w:bookmarkStart w:id="199" w:name="bookmark1143"/>
      <w:bookmarkEnd w:id="199"/>
      <w:r>
        <w:rPr>
          <w:color w:val="auto"/>
          <w:sz w:val="24"/>
          <w:szCs w:val="24"/>
          <w:highlight w:val="none"/>
          <w:lang w:val="en-US" w:eastAsia="zh-CN"/>
        </w:rPr>
        <w:t xml:space="preserve">5.1. </w:t>
      </w:r>
      <w:r>
        <w:rPr>
          <w:color w:val="auto"/>
          <w:sz w:val="24"/>
          <w:szCs w:val="24"/>
          <w:highlight w:val="none"/>
        </w:rPr>
        <w:t>1</w:t>
      </w:r>
      <w:r>
        <w:rPr>
          <w:rFonts w:hint="eastAsia"/>
          <w:color w:val="auto"/>
          <w:sz w:val="24"/>
          <w:szCs w:val="24"/>
          <w:highlight w:val="none"/>
        </w:rPr>
        <w:t>评审小组依据本章第</w:t>
      </w:r>
      <w:r>
        <w:rPr>
          <w:color w:val="auto"/>
          <w:sz w:val="24"/>
          <w:szCs w:val="24"/>
          <w:highlight w:val="none"/>
          <w:lang w:val="en-US" w:eastAsia="zh-CN"/>
        </w:rPr>
        <w:t xml:space="preserve">2. </w:t>
      </w:r>
      <w:r>
        <w:rPr>
          <w:color w:val="auto"/>
          <w:sz w:val="24"/>
          <w:szCs w:val="24"/>
          <w:highlight w:val="none"/>
        </w:rPr>
        <w:t>1</w:t>
      </w:r>
      <w:r>
        <w:rPr>
          <w:rFonts w:hint="eastAsia"/>
          <w:color w:val="auto"/>
          <w:sz w:val="24"/>
          <w:szCs w:val="24"/>
          <w:highlight w:val="none"/>
        </w:rPr>
        <w:t>款规定的标准对</w:t>
      </w:r>
      <w:r>
        <w:rPr>
          <w:rFonts w:hint="eastAsia"/>
          <w:color w:val="auto"/>
          <w:sz w:val="24"/>
          <w:szCs w:val="24"/>
          <w:highlight w:val="none"/>
          <w:lang w:eastAsia="zh-CN"/>
        </w:rPr>
        <w:t>询比响应人</w:t>
      </w:r>
      <w:r>
        <w:rPr>
          <w:rFonts w:hint="eastAsia"/>
          <w:color w:val="auto"/>
          <w:sz w:val="24"/>
          <w:szCs w:val="24"/>
          <w:highlight w:val="none"/>
        </w:rPr>
        <w:t>递交的响应文件进行初步</w:t>
      </w:r>
      <w:r>
        <w:rPr>
          <w:color w:val="auto"/>
          <w:sz w:val="24"/>
          <w:szCs w:val="24"/>
          <w:highlight w:val="none"/>
        </w:rPr>
        <w:t xml:space="preserve"> </w:t>
      </w:r>
      <w:r>
        <w:rPr>
          <w:rFonts w:hint="eastAsia"/>
          <w:color w:val="auto"/>
          <w:sz w:val="24"/>
          <w:szCs w:val="24"/>
          <w:highlight w:val="none"/>
        </w:rPr>
        <w:t>评审，判断响应文件的形式是否符合要求，</w:t>
      </w:r>
      <w:r>
        <w:rPr>
          <w:rFonts w:hint="eastAsia"/>
          <w:color w:val="auto"/>
          <w:sz w:val="24"/>
          <w:szCs w:val="24"/>
          <w:highlight w:val="none"/>
          <w:lang w:eastAsia="zh-CN"/>
        </w:rPr>
        <w:t>询比响应人</w:t>
      </w:r>
      <w:r>
        <w:rPr>
          <w:rFonts w:hint="eastAsia"/>
          <w:color w:val="auto"/>
          <w:sz w:val="24"/>
          <w:szCs w:val="24"/>
          <w:highlight w:val="none"/>
        </w:rPr>
        <w:t>是否符合资格条件，响应文件</w:t>
      </w:r>
      <w:r>
        <w:rPr>
          <w:color w:val="auto"/>
          <w:sz w:val="24"/>
          <w:szCs w:val="24"/>
          <w:highlight w:val="none"/>
        </w:rPr>
        <w:t xml:space="preserve"> </w:t>
      </w:r>
      <w:r>
        <w:rPr>
          <w:rFonts w:hint="eastAsia"/>
          <w:color w:val="auto"/>
          <w:sz w:val="24"/>
          <w:szCs w:val="24"/>
          <w:highlight w:val="none"/>
        </w:rPr>
        <w:t>是否实质性响应采购文件的要求。只有以上评审合格的响应文件才可通过初步</w:t>
      </w:r>
      <w:r>
        <w:rPr>
          <w:color w:val="auto"/>
          <w:sz w:val="24"/>
          <w:szCs w:val="24"/>
          <w:highlight w:val="none"/>
        </w:rPr>
        <w:t xml:space="preserve"> </w:t>
      </w:r>
      <w:r>
        <w:rPr>
          <w:rFonts w:hint="eastAsia"/>
          <w:color w:val="auto"/>
          <w:sz w:val="24"/>
          <w:szCs w:val="24"/>
          <w:highlight w:val="none"/>
        </w:rPr>
        <w:t>评审。</w:t>
      </w:r>
    </w:p>
    <w:p w14:paraId="22FE4A6A">
      <w:pPr>
        <w:pStyle w:val="51"/>
        <w:spacing w:line="360" w:lineRule="auto"/>
        <w:rPr>
          <w:rFonts w:cs="Times New Roman"/>
          <w:color w:val="auto"/>
          <w:sz w:val="24"/>
          <w:szCs w:val="24"/>
          <w:highlight w:val="none"/>
        </w:rPr>
      </w:pPr>
      <w:r>
        <w:rPr>
          <w:color w:val="auto"/>
          <w:sz w:val="24"/>
          <w:szCs w:val="24"/>
          <w:highlight w:val="none"/>
          <w:lang w:val="en-US" w:eastAsia="zh-CN"/>
        </w:rPr>
        <w:t>5. 1.2</w:t>
      </w:r>
      <w:r>
        <w:rPr>
          <w:rFonts w:hint="eastAsia"/>
          <w:color w:val="auto"/>
          <w:sz w:val="24"/>
          <w:szCs w:val="24"/>
          <w:highlight w:val="none"/>
        </w:rPr>
        <w:t>响应文件的形式或</w:t>
      </w:r>
      <w:r>
        <w:rPr>
          <w:rFonts w:hint="eastAsia"/>
          <w:color w:val="auto"/>
          <w:sz w:val="24"/>
          <w:szCs w:val="24"/>
          <w:highlight w:val="none"/>
          <w:lang w:eastAsia="zh-CN"/>
        </w:rPr>
        <w:t>询比响应人</w:t>
      </w:r>
      <w:r>
        <w:rPr>
          <w:rFonts w:hint="eastAsia"/>
          <w:color w:val="auto"/>
          <w:sz w:val="24"/>
          <w:szCs w:val="24"/>
          <w:highlight w:val="none"/>
        </w:rPr>
        <w:t>资格不符合采购文件的要求、响应文件未实质性响应</w:t>
      </w:r>
      <w:r>
        <w:rPr>
          <w:color w:val="auto"/>
          <w:sz w:val="24"/>
          <w:szCs w:val="24"/>
          <w:highlight w:val="none"/>
        </w:rPr>
        <w:t xml:space="preserve"> </w:t>
      </w:r>
      <w:r>
        <w:rPr>
          <w:rFonts w:hint="eastAsia"/>
          <w:color w:val="auto"/>
          <w:sz w:val="24"/>
          <w:szCs w:val="24"/>
          <w:highlight w:val="none"/>
        </w:rPr>
        <w:t>采购文件的要求，或响应文件中有含义不明确、同类问题表述不一致或有明显文字和</w:t>
      </w:r>
      <w:r>
        <w:rPr>
          <w:color w:val="auto"/>
          <w:sz w:val="24"/>
          <w:szCs w:val="24"/>
          <w:highlight w:val="none"/>
        </w:rPr>
        <w:t xml:space="preserve"> </w:t>
      </w:r>
      <w:r>
        <w:rPr>
          <w:rFonts w:hint="eastAsia"/>
          <w:color w:val="auto"/>
          <w:sz w:val="24"/>
          <w:szCs w:val="24"/>
          <w:highlight w:val="none"/>
        </w:rPr>
        <w:t>计算错误的内容，评审小组应要求</w:t>
      </w:r>
      <w:r>
        <w:rPr>
          <w:rFonts w:hint="eastAsia"/>
          <w:color w:val="auto"/>
          <w:sz w:val="24"/>
          <w:szCs w:val="24"/>
          <w:highlight w:val="none"/>
          <w:lang w:eastAsia="zh-CN"/>
        </w:rPr>
        <w:t>询比响应人</w:t>
      </w:r>
      <w:r>
        <w:rPr>
          <w:rFonts w:hint="eastAsia"/>
          <w:color w:val="auto"/>
          <w:sz w:val="24"/>
          <w:szCs w:val="24"/>
          <w:highlight w:val="none"/>
        </w:rPr>
        <w:t>在规定时间内进行澄清、说明和补正。供应</w:t>
      </w:r>
      <w:r>
        <w:rPr>
          <w:color w:val="auto"/>
          <w:sz w:val="24"/>
          <w:szCs w:val="24"/>
          <w:highlight w:val="none"/>
        </w:rPr>
        <w:t xml:space="preserve"> </w:t>
      </w:r>
      <w:r>
        <w:rPr>
          <w:rFonts w:hint="eastAsia"/>
          <w:color w:val="auto"/>
          <w:sz w:val="24"/>
          <w:szCs w:val="24"/>
          <w:highlight w:val="none"/>
        </w:rPr>
        <w:t>商澄清、说明和补正的内容应由法定代表人（单位负责人）或其授权的代理人签字或</w:t>
      </w:r>
      <w:r>
        <w:rPr>
          <w:color w:val="auto"/>
          <w:sz w:val="24"/>
          <w:szCs w:val="24"/>
          <w:highlight w:val="none"/>
        </w:rPr>
        <w:t xml:space="preserve"> </w:t>
      </w:r>
      <w:r>
        <w:rPr>
          <w:rFonts w:hint="eastAsia"/>
          <w:color w:val="auto"/>
          <w:sz w:val="24"/>
          <w:szCs w:val="24"/>
          <w:highlight w:val="none"/>
        </w:rPr>
        <w:t>加盖单位章。澄清、说明和补正的内容作为响应文件的组成部分。</w:t>
      </w:r>
    </w:p>
    <w:p w14:paraId="4F11EF59">
      <w:pPr>
        <w:pStyle w:val="51"/>
        <w:spacing w:line="360" w:lineRule="auto"/>
        <w:rPr>
          <w:rFonts w:cs="Times New Roman"/>
          <w:color w:val="auto"/>
          <w:sz w:val="24"/>
          <w:szCs w:val="24"/>
          <w:highlight w:val="none"/>
        </w:rPr>
      </w:pPr>
      <w:r>
        <w:rPr>
          <w:color w:val="auto"/>
          <w:sz w:val="24"/>
          <w:szCs w:val="24"/>
          <w:highlight w:val="none"/>
          <w:lang w:val="en-US" w:eastAsia="zh-CN"/>
        </w:rPr>
        <w:t xml:space="preserve">5. 1. </w:t>
      </w:r>
      <w:r>
        <w:rPr>
          <w:color w:val="auto"/>
          <w:sz w:val="24"/>
          <w:szCs w:val="24"/>
          <w:highlight w:val="none"/>
        </w:rPr>
        <w:t>3</w:t>
      </w:r>
      <w:r>
        <w:rPr>
          <w:rFonts w:hint="eastAsia"/>
          <w:color w:val="auto"/>
          <w:sz w:val="24"/>
          <w:szCs w:val="24"/>
          <w:highlight w:val="none"/>
        </w:rPr>
        <w:t>只有形式评审和资格评审合格且实质性响应采购文件要求的</w:t>
      </w:r>
      <w:r>
        <w:rPr>
          <w:rFonts w:hint="eastAsia"/>
          <w:color w:val="auto"/>
          <w:sz w:val="24"/>
          <w:szCs w:val="24"/>
          <w:highlight w:val="none"/>
          <w:lang w:eastAsia="zh-CN"/>
        </w:rPr>
        <w:t>询比响应人</w:t>
      </w:r>
      <w:r>
        <w:rPr>
          <w:rFonts w:hint="eastAsia"/>
          <w:color w:val="auto"/>
          <w:sz w:val="24"/>
          <w:szCs w:val="24"/>
          <w:highlight w:val="none"/>
        </w:rPr>
        <w:t>才可通过初</w:t>
      </w:r>
      <w:r>
        <w:rPr>
          <w:color w:val="auto"/>
          <w:sz w:val="24"/>
          <w:szCs w:val="24"/>
          <w:highlight w:val="none"/>
        </w:rPr>
        <w:t xml:space="preserve"> </w:t>
      </w:r>
      <w:r>
        <w:rPr>
          <w:rFonts w:hint="eastAsia"/>
          <w:color w:val="auto"/>
          <w:sz w:val="24"/>
          <w:szCs w:val="24"/>
          <w:highlight w:val="none"/>
        </w:rPr>
        <w:t>步评审。经</w:t>
      </w:r>
      <w:r>
        <w:rPr>
          <w:rFonts w:hint="eastAsia"/>
          <w:color w:val="auto"/>
          <w:sz w:val="24"/>
          <w:szCs w:val="24"/>
          <w:highlight w:val="none"/>
          <w:lang w:eastAsia="zh-CN"/>
        </w:rPr>
        <w:t>询比响应人</w:t>
      </w:r>
      <w:r>
        <w:rPr>
          <w:rFonts w:hint="eastAsia"/>
          <w:color w:val="auto"/>
          <w:sz w:val="24"/>
          <w:szCs w:val="24"/>
          <w:highlight w:val="none"/>
        </w:rPr>
        <w:t>澄清、说明和补正后仍未通过初步评审的响应文件将被视为无效</w:t>
      </w:r>
      <w:r>
        <w:rPr>
          <w:color w:val="auto"/>
          <w:sz w:val="24"/>
          <w:szCs w:val="24"/>
          <w:highlight w:val="none"/>
        </w:rPr>
        <w:t xml:space="preserve">, </w:t>
      </w:r>
      <w:r>
        <w:rPr>
          <w:rFonts w:hint="eastAsia"/>
          <w:color w:val="auto"/>
          <w:sz w:val="24"/>
          <w:szCs w:val="24"/>
          <w:highlight w:val="none"/>
        </w:rPr>
        <w:t>评审小组应告知有关</w:t>
      </w:r>
      <w:r>
        <w:rPr>
          <w:rFonts w:hint="eastAsia"/>
          <w:color w:val="auto"/>
          <w:sz w:val="24"/>
          <w:szCs w:val="24"/>
          <w:highlight w:val="none"/>
          <w:lang w:eastAsia="zh-CN"/>
        </w:rPr>
        <w:t>询比响应人</w:t>
      </w:r>
      <w:r>
        <w:rPr>
          <w:rFonts w:hint="eastAsia"/>
          <w:color w:val="auto"/>
          <w:sz w:val="24"/>
          <w:szCs w:val="24"/>
          <w:highlight w:val="none"/>
        </w:rPr>
        <w:t>。</w:t>
      </w:r>
    </w:p>
    <w:p w14:paraId="400DE13C">
      <w:pPr>
        <w:pStyle w:val="51"/>
        <w:spacing w:line="360" w:lineRule="auto"/>
        <w:rPr>
          <w:rFonts w:cs="Times New Roman"/>
          <w:color w:val="auto"/>
          <w:sz w:val="24"/>
          <w:szCs w:val="24"/>
          <w:highlight w:val="none"/>
        </w:rPr>
      </w:pPr>
      <w:r>
        <w:rPr>
          <w:color w:val="auto"/>
          <w:sz w:val="24"/>
          <w:szCs w:val="24"/>
          <w:highlight w:val="none"/>
          <w:lang w:val="en-US" w:eastAsia="zh-CN"/>
        </w:rPr>
        <w:t>5. 1.4</w:t>
      </w:r>
      <w:r>
        <w:rPr>
          <w:rFonts w:hint="eastAsia"/>
          <w:color w:val="auto"/>
          <w:sz w:val="24"/>
          <w:szCs w:val="24"/>
          <w:highlight w:val="none"/>
        </w:rPr>
        <w:t>当通过初步评审的</w:t>
      </w:r>
      <w:r>
        <w:rPr>
          <w:rFonts w:hint="eastAsia"/>
          <w:color w:val="auto"/>
          <w:sz w:val="24"/>
          <w:szCs w:val="24"/>
          <w:highlight w:val="none"/>
          <w:lang w:eastAsia="zh-CN"/>
        </w:rPr>
        <w:t>询比响应人</w:t>
      </w:r>
      <w:r>
        <w:rPr>
          <w:rFonts w:hint="eastAsia"/>
          <w:color w:val="auto"/>
          <w:sz w:val="24"/>
          <w:szCs w:val="24"/>
          <w:highlight w:val="none"/>
        </w:rPr>
        <w:t>数量大于询比采购公告</w:t>
      </w:r>
      <w:r>
        <w:rPr>
          <w:color w:val="auto"/>
          <w:sz w:val="24"/>
          <w:szCs w:val="24"/>
          <w:highlight w:val="none"/>
        </w:rPr>
        <w:t>/</w:t>
      </w:r>
      <w:r>
        <w:rPr>
          <w:rFonts w:hint="eastAsia"/>
          <w:color w:val="auto"/>
          <w:sz w:val="24"/>
          <w:szCs w:val="24"/>
          <w:highlight w:val="none"/>
        </w:rPr>
        <w:t>询比釆购邀请书第</w:t>
      </w:r>
      <w:r>
        <w:rPr>
          <w:color w:val="auto"/>
          <w:sz w:val="24"/>
          <w:szCs w:val="24"/>
          <w:highlight w:val="none"/>
          <w:lang w:val="en-US" w:eastAsia="zh-CN"/>
        </w:rPr>
        <w:t>1.6</w:t>
      </w:r>
      <w:r>
        <w:rPr>
          <w:rFonts w:hint="eastAsia"/>
          <w:color w:val="auto"/>
          <w:sz w:val="24"/>
          <w:szCs w:val="24"/>
          <w:highlight w:val="none"/>
        </w:rPr>
        <w:t>款规</w:t>
      </w:r>
      <w:r>
        <w:rPr>
          <w:color w:val="auto"/>
          <w:sz w:val="24"/>
          <w:szCs w:val="24"/>
          <w:highlight w:val="none"/>
        </w:rPr>
        <w:t xml:space="preserve"> </w:t>
      </w:r>
      <w:r>
        <w:rPr>
          <w:rFonts w:hint="eastAsia"/>
          <w:color w:val="auto"/>
          <w:sz w:val="24"/>
          <w:szCs w:val="24"/>
          <w:highlight w:val="none"/>
        </w:rPr>
        <w:t>定的成交</w:t>
      </w:r>
      <w:r>
        <w:rPr>
          <w:rFonts w:hint="eastAsia"/>
          <w:color w:val="auto"/>
          <w:sz w:val="24"/>
          <w:szCs w:val="24"/>
          <w:highlight w:val="none"/>
          <w:lang w:eastAsia="zh-CN"/>
        </w:rPr>
        <w:t>询比响应人</w:t>
      </w:r>
      <w:r>
        <w:rPr>
          <w:rFonts w:hint="eastAsia"/>
          <w:color w:val="auto"/>
          <w:sz w:val="24"/>
          <w:szCs w:val="24"/>
          <w:highlight w:val="none"/>
        </w:rPr>
        <w:t>数量时，可以改为参照谈判方式继续评审选择成交</w:t>
      </w:r>
      <w:r>
        <w:rPr>
          <w:rFonts w:hint="eastAsia"/>
          <w:color w:val="auto"/>
          <w:sz w:val="24"/>
          <w:szCs w:val="24"/>
          <w:highlight w:val="none"/>
          <w:lang w:eastAsia="zh-CN"/>
        </w:rPr>
        <w:t>询比响应人</w:t>
      </w:r>
      <w:r>
        <w:rPr>
          <w:rFonts w:hint="eastAsia"/>
          <w:color w:val="auto"/>
          <w:sz w:val="24"/>
          <w:szCs w:val="24"/>
          <w:highlight w:val="none"/>
        </w:rPr>
        <w:t>。</w:t>
      </w:r>
    </w:p>
    <w:p w14:paraId="36E901D1">
      <w:pPr>
        <w:pStyle w:val="51"/>
        <w:spacing w:line="360" w:lineRule="auto"/>
        <w:ind w:firstLine="500"/>
        <w:rPr>
          <w:rFonts w:cs="Times New Roman"/>
          <w:color w:val="auto"/>
          <w:sz w:val="24"/>
          <w:szCs w:val="24"/>
          <w:highlight w:val="none"/>
        </w:rPr>
      </w:pPr>
      <w:r>
        <w:rPr>
          <w:rFonts w:hint="eastAsia"/>
          <w:color w:val="auto"/>
          <w:sz w:val="24"/>
          <w:szCs w:val="24"/>
          <w:highlight w:val="none"/>
        </w:rPr>
        <w:t>当通过初步评审的</w:t>
      </w:r>
      <w:r>
        <w:rPr>
          <w:rFonts w:hint="eastAsia"/>
          <w:color w:val="auto"/>
          <w:sz w:val="24"/>
          <w:szCs w:val="24"/>
          <w:highlight w:val="none"/>
          <w:lang w:eastAsia="zh-CN"/>
        </w:rPr>
        <w:t>询比响应人</w:t>
      </w:r>
      <w:r>
        <w:rPr>
          <w:rFonts w:hint="eastAsia"/>
          <w:color w:val="auto"/>
          <w:sz w:val="24"/>
          <w:szCs w:val="24"/>
          <w:highlight w:val="none"/>
        </w:rPr>
        <w:t>数量等于询比采购公告</w:t>
      </w:r>
      <w:r>
        <w:rPr>
          <w:color w:val="auto"/>
          <w:sz w:val="24"/>
          <w:szCs w:val="24"/>
          <w:highlight w:val="none"/>
        </w:rPr>
        <w:t>/</w:t>
      </w:r>
      <w:r>
        <w:rPr>
          <w:rFonts w:hint="eastAsia"/>
          <w:color w:val="auto"/>
          <w:sz w:val="24"/>
          <w:szCs w:val="24"/>
          <w:highlight w:val="none"/>
        </w:rPr>
        <w:t>询比采购邀请书第</w:t>
      </w:r>
      <w:r>
        <w:rPr>
          <w:color w:val="auto"/>
          <w:sz w:val="24"/>
          <w:szCs w:val="24"/>
          <w:highlight w:val="none"/>
          <w:lang w:val="en-US" w:eastAsia="zh-CN"/>
        </w:rPr>
        <w:t xml:space="preserve">1- </w:t>
      </w:r>
      <w:r>
        <w:rPr>
          <w:color w:val="auto"/>
          <w:sz w:val="24"/>
          <w:szCs w:val="24"/>
          <w:highlight w:val="none"/>
        </w:rPr>
        <w:t>6</w:t>
      </w:r>
      <w:r>
        <w:rPr>
          <w:rFonts w:hint="eastAsia"/>
          <w:color w:val="auto"/>
          <w:sz w:val="24"/>
          <w:szCs w:val="24"/>
          <w:highlight w:val="none"/>
        </w:rPr>
        <w:t>款规定的</w:t>
      </w:r>
      <w:r>
        <w:rPr>
          <w:color w:val="auto"/>
          <w:sz w:val="24"/>
          <w:szCs w:val="24"/>
          <w:highlight w:val="none"/>
        </w:rPr>
        <w:t xml:space="preserve"> </w:t>
      </w:r>
      <w:r>
        <w:rPr>
          <w:rFonts w:hint="eastAsia"/>
          <w:color w:val="auto"/>
          <w:sz w:val="24"/>
          <w:szCs w:val="24"/>
          <w:highlight w:val="none"/>
        </w:rPr>
        <w:t>成交</w:t>
      </w:r>
      <w:r>
        <w:rPr>
          <w:rFonts w:hint="eastAsia"/>
          <w:color w:val="auto"/>
          <w:sz w:val="24"/>
          <w:szCs w:val="24"/>
          <w:highlight w:val="none"/>
          <w:lang w:eastAsia="zh-CN"/>
        </w:rPr>
        <w:t>询比响应人</w:t>
      </w:r>
      <w:r>
        <w:rPr>
          <w:rFonts w:hint="eastAsia"/>
          <w:color w:val="auto"/>
          <w:sz w:val="24"/>
          <w:szCs w:val="24"/>
          <w:highlight w:val="none"/>
        </w:rPr>
        <w:t>数量时，可以改为参照直接采购方式继续评审选择成交</w:t>
      </w:r>
      <w:r>
        <w:rPr>
          <w:rFonts w:hint="eastAsia"/>
          <w:color w:val="auto"/>
          <w:sz w:val="24"/>
          <w:szCs w:val="24"/>
          <w:highlight w:val="none"/>
          <w:lang w:eastAsia="zh-CN"/>
        </w:rPr>
        <w:t>询比响应人</w:t>
      </w:r>
      <w:r>
        <w:rPr>
          <w:rFonts w:hint="eastAsia"/>
          <w:color w:val="auto"/>
          <w:sz w:val="24"/>
          <w:szCs w:val="24"/>
          <w:highlight w:val="none"/>
        </w:rPr>
        <w:t>。</w:t>
      </w:r>
    </w:p>
    <w:p w14:paraId="7F71B7A1">
      <w:pPr>
        <w:pStyle w:val="51"/>
        <w:spacing w:line="360" w:lineRule="auto"/>
        <w:ind w:firstLine="500"/>
        <w:rPr>
          <w:rFonts w:cs="Times New Roman"/>
          <w:color w:val="auto"/>
          <w:sz w:val="24"/>
          <w:szCs w:val="24"/>
          <w:highlight w:val="none"/>
        </w:rPr>
      </w:pPr>
      <w:r>
        <w:rPr>
          <w:rFonts w:hint="eastAsia"/>
          <w:color w:val="auto"/>
          <w:sz w:val="24"/>
          <w:szCs w:val="24"/>
          <w:highlight w:val="none"/>
        </w:rPr>
        <w:t>当询比釆购公告</w:t>
      </w:r>
      <w:r>
        <w:rPr>
          <w:color w:val="auto"/>
          <w:sz w:val="24"/>
          <w:szCs w:val="24"/>
          <w:highlight w:val="none"/>
        </w:rPr>
        <w:t>/</w:t>
      </w:r>
      <w:r>
        <w:rPr>
          <w:rFonts w:hint="eastAsia"/>
          <w:color w:val="auto"/>
          <w:sz w:val="24"/>
          <w:szCs w:val="24"/>
          <w:highlight w:val="none"/>
        </w:rPr>
        <w:t>询比采购邀请书第</w:t>
      </w:r>
      <w:r>
        <w:rPr>
          <w:color w:val="auto"/>
          <w:sz w:val="24"/>
          <w:szCs w:val="24"/>
          <w:highlight w:val="none"/>
          <w:lang w:val="en-US" w:eastAsia="zh-CN"/>
        </w:rPr>
        <w:t xml:space="preserve">1. </w:t>
      </w:r>
      <w:r>
        <w:rPr>
          <w:color w:val="auto"/>
          <w:sz w:val="24"/>
          <w:szCs w:val="24"/>
          <w:highlight w:val="none"/>
        </w:rPr>
        <w:t>6</w:t>
      </w:r>
      <w:r>
        <w:rPr>
          <w:rFonts w:hint="eastAsia"/>
          <w:color w:val="auto"/>
          <w:sz w:val="24"/>
          <w:szCs w:val="24"/>
          <w:highlight w:val="none"/>
        </w:rPr>
        <w:t>款选择多家成交</w:t>
      </w:r>
      <w:r>
        <w:rPr>
          <w:rFonts w:hint="eastAsia"/>
          <w:color w:val="auto"/>
          <w:sz w:val="24"/>
          <w:szCs w:val="24"/>
          <w:highlight w:val="none"/>
          <w:lang w:eastAsia="zh-CN"/>
        </w:rPr>
        <w:t>询比响应人</w:t>
      </w:r>
      <w:r>
        <w:rPr>
          <w:rFonts w:hint="eastAsia"/>
          <w:color w:val="auto"/>
          <w:sz w:val="24"/>
          <w:szCs w:val="24"/>
          <w:highlight w:val="none"/>
        </w:rPr>
        <w:t>，通过初步评审的</w:t>
      </w:r>
      <w:r>
        <w:rPr>
          <w:color w:val="auto"/>
          <w:sz w:val="24"/>
          <w:szCs w:val="24"/>
          <w:highlight w:val="none"/>
        </w:rPr>
        <w:t xml:space="preserve"> </w:t>
      </w:r>
      <w:r>
        <w:rPr>
          <w:rFonts w:hint="eastAsia"/>
          <w:color w:val="auto"/>
          <w:sz w:val="24"/>
          <w:szCs w:val="24"/>
          <w:highlight w:val="none"/>
          <w:lang w:eastAsia="zh-CN"/>
        </w:rPr>
        <w:t>询比响应人</w:t>
      </w:r>
      <w:r>
        <w:rPr>
          <w:rFonts w:hint="eastAsia"/>
          <w:color w:val="auto"/>
          <w:sz w:val="24"/>
          <w:szCs w:val="24"/>
          <w:highlight w:val="none"/>
        </w:rPr>
        <w:t>数量小于约定成交</w:t>
      </w:r>
      <w:r>
        <w:rPr>
          <w:rFonts w:hint="eastAsia"/>
          <w:color w:val="auto"/>
          <w:sz w:val="24"/>
          <w:szCs w:val="24"/>
          <w:highlight w:val="none"/>
          <w:lang w:eastAsia="zh-CN"/>
        </w:rPr>
        <w:t>询比响应人</w:t>
      </w:r>
      <w:r>
        <w:rPr>
          <w:rFonts w:hint="eastAsia"/>
          <w:color w:val="auto"/>
          <w:sz w:val="24"/>
          <w:szCs w:val="24"/>
          <w:highlight w:val="none"/>
        </w:rPr>
        <w:t>数量且大于等于一家的，可以改为参照直接采购方式</w:t>
      </w:r>
      <w:r>
        <w:rPr>
          <w:color w:val="auto"/>
          <w:sz w:val="24"/>
          <w:szCs w:val="24"/>
          <w:highlight w:val="none"/>
        </w:rPr>
        <w:t xml:space="preserve"> </w:t>
      </w:r>
      <w:r>
        <w:rPr>
          <w:rFonts w:hint="eastAsia"/>
          <w:color w:val="auto"/>
          <w:sz w:val="24"/>
          <w:szCs w:val="24"/>
          <w:highlight w:val="none"/>
        </w:rPr>
        <w:t>继续评审选择一部分成交</w:t>
      </w:r>
      <w:r>
        <w:rPr>
          <w:rFonts w:hint="eastAsia"/>
          <w:color w:val="auto"/>
          <w:sz w:val="24"/>
          <w:szCs w:val="24"/>
          <w:highlight w:val="none"/>
          <w:lang w:eastAsia="zh-CN"/>
        </w:rPr>
        <w:t>询比响应人</w:t>
      </w:r>
      <w:r>
        <w:rPr>
          <w:rFonts w:hint="eastAsia"/>
          <w:color w:val="auto"/>
          <w:sz w:val="24"/>
          <w:szCs w:val="24"/>
          <w:highlight w:val="none"/>
        </w:rPr>
        <w:t>，或者终止全部采购，重新组织采购选择全部成交供</w:t>
      </w:r>
      <w:r>
        <w:rPr>
          <w:color w:val="auto"/>
          <w:sz w:val="24"/>
          <w:szCs w:val="24"/>
          <w:highlight w:val="none"/>
        </w:rPr>
        <w:t xml:space="preserve"> </w:t>
      </w:r>
      <w:r>
        <w:rPr>
          <w:rFonts w:hint="eastAsia"/>
          <w:color w:val="auto"/>
          <w:sz w:val="24"/>
          <w:szCs w:val="24"/>
          <w:highlight w:val="none"/>
        </w:rPr>
        <w:t>应商。</w:t>
      </w:r>
    </w:p>
    <w:p w14:paraId="3F7610DB">
      <w:pPr>
        <w:pStyle w:val="51"/>
        <w:spacing w:line="360" w:lineRule="auto"/>
        <w:ind w:firstLine="480" w:firstLineChars="200"/>
        <w:rPr>
          <w:rFonts w:cs="Times New Roman"/>
          <w:color w:val="auto"/>
          <w:sz w:val="24"/>
          <w:szCs w:val="24"/>
          <w:highlight w:val="none"/>
        </w:rPr>
      </w:pPr>
      <w:r>
        <w:rPr>
          <w:rFonts w:hint="eastAsia"/>
          <w:color w:val="auto"/>
          <w:sz w:val="24"/>
          <w:szCs w:val="24"/>
          <w:highlight w:val="none"/>
        </w:rPr>
        <w:t>初步评审后，当所有响应文件均无效时，应重新组织采购。</w:t>
      </w:r>
    </w:p>
    <w:p w14:paraId="71F0B2DD">
      <w:pPr>
        <w:pStyle w:val="55"/>
        <w:spacing w:after="0" w:line="360" w:lineRule="auto"/>
        <w:ind w:firstLine="0"/>
        <w:rPr>
          <w:rFonts w:cs="Times New Roman"/>
          <w:color w:val="auto"/>
          <w:sz w:val="24"/>
          <w:szCs w:val="24"/>
          <w:highlight w:val="none"/>
          <w:lang w:val="en-US" w:eastAsia="zh-CN"/>
        </w:rPr>
      </w:pPr>
      <w:bookmarkStart w:id="200" w:name="bookmark1145"/>
      <w:bookmarkStart w:id="201" w:name="bookmark1144"/>
      <w:bookmarkStart w:id="202" w:name="bookmark1146"/>
      <w:r>
        <w:rPr>
          <w:color w:val="auto"/>
          <w:sz w:val="24"/>
          <w:szCs w:val="24"/>
          <w:highlight w:val="none"/>
          <w:lang w:val="en-US" w:eastAsia="zh-CN"/>
        </w:rPr>
        <w:t>5.2</w:t>
      </w:r>
      <w:r>
        <w:rPr>
          <w:rFonts w:hint="eastAsia"/>
          <w:color w:val="auto"/>
          <w:sz w:val="24"/>
          <w:szCs w:val="24"/>
          <w:highlight w:val="none"/>
          <w:lang w:val="en-US" w:eastAsia="zh-CN"/>
        </w:rPr>
        <w:t>转换采购方式</w:t>
      </w:r>
      <w:bookmarkEnd w:id="200"/>
      <w:bookmarkEnd w:id="201"/>
      <w:bookmarkEnd w:id="202"/>
    </w:p>
    <w:p w14:paraId="6785319E">
      <w:pPr>
        <w:pStyle w:val="51"/>
        <w:spacing w:line="360" w:lineRule="auto"/>
        <w:ind w:firstLine="420"/>
        <w:rPr>
          <w:rFonts w:cs="Times New Roman"/>
          <w:color w:val="auto"/>
          <w:sz w:val="24"/>
          <w:szCs w:val="24"/>
          <w:highlight w:val="none"/>
        </w:rPr>
      </w:pPr>
      <w:r>
        <w:rPr>
          <w:color w:val="auto"/>
          <w:sz w:val="24"/>
          <w:szCs w:val="24"/>
          <w:highlight w:val="none"/>
          <w:lang w:val="en-US" w:eastAsia="zh-CN"/>
        </w:rPr>
        <w:t>5.2.1</w:t>
      </w:r>
      <w:r>
        <w:rPr>
          <w:rFonts w:hint="eastAsia"/>
          <w:color w:val="auto"/>
          <w:sz w:val="24"/>
          <w:szCs w:val="24"/>
          <w:highlight w:val="none"/>
        </w:rPr>
        <w:t>参照谈判釆购方式评审</w:t>
      </w:r>
    </w:p>
    <w:p w14:paraId="6F0BC494">
      <w:pPr>
        <w:pStyle w:val="51"/>
        <w:spacing w:line="360" w:lineRule="auto"/>
        <w:ind w:firstLine="480" w:firstLineChars="200"/>
        <w:rPr>
          <w:rFonts w:cs="Times New Roman"/>
          <w:color w:val="auto"/>
          <w:sz w:val="24"/>
          <w:szCs w:val="24"/>
          <w:highlight w:val="none"/>
        </w:rPr>
      </w:pPr>
      <w:r>
        <w:rPr>
          <w:rFonts w:hint="eastAsia"/>
          <w:color w:val="auto"/>
          <w:sz w:val="24"/>
          <w:szCs w:val="24"/>
          <w:highlight w:val="none"/>
          <w:lang w:eastAsia="zh-CN"/>
        </w:rPr>
        <w:t>（</w:t>
      </w:r>
      <w:r>
        <w:rPr>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谈判。</w:t>
      </w:r>
    </w:p>
    <w:p w14:paraId="7A7DAC64">
      <w:pPr>
        <w:pStyle w:val="51"/>
        <w:tabs>
          <w:tab w:val="left" w:pos="1281"/>
        </w:tabs>
        <w:spacing w:line="360" w:lineRule="auto"/>
        <w:ind w:firstLine="500"/>
        <w:rPr>
          <w:rFonts w:cs="Times New Roman"/>
          <w:color w:val="auto"/>
          <w:sz w:val="24"/>
          <w:szCs w:val="24"/>
          <w:highlight w:val="none"/>
        </w:rPr>
      </w:pPr>
      <w:bookmarkStart w:id="203" w:name="bookmark1148"/>
      <w:r>
        <w:rPr>
          <w:color w:val="auto"/>
          <w:sz w:val="24"/>
          <w:szCs w:val="24"/>
          <w:highlight w:val="none"/>
        </w:rPr>
        <w:t>1</w:t>
      </w:r>
      <w:bookmarkEnd w:id="203"/>
      <w:r>
        <w:rPr>
          <w:rFonts w:hint="eastAsia"/>
          <w:color w:val="auto"/>
          <w:sz w:val="24"/>
          <w:szCs w:val="24"/>
          <w:highlight w:val="none"/>
        </w:rPr>
        <w:t>）评审小组应按照</w:t>
      </w:r>
      <w:r>
        <w:rPr>
          <w:rFonts w:hint="eastAsia"/>
          <w:color w:val="auto"/>
          <w:sz w:val="24"/>
          <w:szCs w:val="24"/>
          <w:highlight w:val="none"/>
          <w:lang w:eastAsia="zh-CN"/>
        </w:rPr>
        <w:t>询比响应人</w:t>
      </w:r>
      <w:r>
        <w:rPr>
          <w:rFonts w:hint="eastAsia"/>
          <w:color w:val="auto"/>
          <w:sz w:val="24"/>
          <w:szCs w:val="24"/>
          <w:highlight w:val="none"/>
        </w:rPr>
        <w:t>递交响应文件的顺序或评审小组抽签确定的顺序与通过</w:t>
      </w:r>
      <w:r>
        <w:rPr>
          <w:color w:val="auto"/>
          <w:sz w:val="24"/>
          <w:szCs w:val="24"/>
          <w:highlight w:val="none"/>
        </w:rPr>
        <w:t xml:space="preserve"> </w:t>
      </w:r>
      <w:r>
        <w:rPr>
          <w:rFonts w:hint="eastAsia"/>
          <w:color w:val="auto"/>
          <w:sz w:val="24"/>
          <w:szCs w:val="24"/>
          <w:highlight w:val="none"/>
        </w:rPr>
        <w:t>初步评审的</w:t>
      </w:r>
      <w:r>
        <w:rPr>
          <w:rFonts w:hint="eastAsia"/>
          <w:color w:val="auto"/>
          <w:sz w:val="24"/>
          <w:szCs w:val="24"/>
          <w:highlight w:val="none"/>
          <w:lang w:eastAsia="zh-CN"/>
        </w:rPr>
        <w:t>询比响应人</w:t>
      </w:r>
      <w:r>
        <w:rPr>
          <w:rFonts w:hint="eastAsia"/>
          <w:color w:val="auto"/>
          <w:sz w:val="24"/>
          <w:szCs w:val="24"/>
          <w:highlight w:val="none"/>
        </w:rPr>
        <w:t>逐一进行谈判。评审小组可以根据谈判情况决定谈判轮次，并给予</w:t>
      </w:r>
      <w:r>
        <w:rPr>
          <w:color w:val="auto"/>
          <w:sz w:val="24"/>
          <w:szCs w:val="24"/>
          <w:highlight w:val="none"/>
        </w:rPr>
        <w:t xml:space="preserve"> </w:t>
      </w:r>
      <w:r>
        <w:rPr>
          <w:rFonts w:hint="eastAsia"/>
          <w:color w:val="auto"/>
          <w:sz w:val="24"/>
          <w:szCs w:val="24"/>
          <w:highlight w:val="none"/>
        </w:rPr>
        <w:t>所有参加谈判的</w:t>
      </w:r>
      <w:r>
        <w:rPr>
          <w:rFonts w:hint="eastAsia"/>
          <w:color w:val="auto"/>
          <w:sz w:val="24"/>
          <w:szCs w:val="24"/>
          <w:highlight w:val="none"/>
          <w:lang w:eastAsia="zh-CN"/>
        </w:rPr>
        <w:t>询比响应人</w:t>
      </w:r>
      <w:r>
        <w:rPr>
          <w:rFonts w:hint="eastAsia"/>
          <w:color w:val="auto"/>
          <w:sz w:val="24"/>
          <w:szCs w:val="24"/>
          <w:highlight w:val="none"/>
        </w:rPr>
        <w:t>平等的谈判机会。在谈判过程中，评审小组可根据谈判情况修</w:t>
      </w:r>
      <w:r>
        <w:rPr>
          <w:color w:val="auto"/>
          <w:sz w:val="24"/>
          <w:szCs w:val="24"/>
          <w:highlight w:val="none"/>
        </w:rPr>
        <w:t xml:space="preserve"> </w:t>
      </w:r>
      <w:r>
        <w:rPr>
          <w:rFonts w:hint="eastAsia"/>
          <w:color w:val="auto"/>
          <w:sz w:val="24"/>
          <w:szCs w:val="24"/>
          <w:highlight w:val="none"/>
        </w:rPr>
        <w:t>改和补充采购文件中的非实质性内容，但不得改变评审标准或可能影响初步评审结果</w:t>
      </w:r>
      <w:r>
        <w:rPr>
          <w:color w:val="auto"/>
          <w:sz w:val="24"/>
          <w:szCs w:val="24"/>
          <w:highlight w:val="none"/>
        </w:rPr>
        <w:t xml:space="preserve"> </w:t>
      </w:r>
      <w:r>
        <w:rPr>
          <w:rFonts w:hint="eastAsia"/>
          <w:color w:val="auto"/>
          <w:sz w:val="24"/>
          <w:szCs w:val="24"/>
          <w:highlight w:val="none"/>
        </w:rPr>
        <w:t>的内容。</w:t>
      </w:r>
    </w:p>
    <w:p w14:paraId="07E73475">
      <w:pPr>
        <w:pStyle w:val="51"/>
        <w:tabs>
          <w:tab w:val="left" w:pos="1281"/>
        </w:tabs>
        <w:spacing w:line="360" w:lineRule="auto"/>
        <w:ind w:firstLine="500"/>
        <w:rPr>
          <w:rFonts w:cs="Times New Roman"/>
          <w:color w:val="auto"/>
          <w:sz w:val="24"/>
          <w:szCs w:val="24"/>
          <w:highlight w:val="none"/>
        </w:rPr>
      </w:pPr>
      <w:bookmarkStart w:id="204" w:name="bookmark1149"/>
      <w:r>
        <w:rPr>
          <w:color w:val="auto"/>
          <w:sz w:val="24"/>
          <w:szCs w:val="24"/>
          <w:highlight w:val="none"/>
        </w:rPr>
        <w:t>2</w:t>
      </w:r>
      <w:bookmarkEnd w:id="204"/>
      <w:r>
        <w:rPr>
          <w:rFonts w:hint="eastAsia"/>
          <w:color w:val="auto"/>
          <w:sz w:val="24"/>
          <w:szCs w:val="24"/>
          <w:highlight w:val="none"/>
        </w:rPr>
        <w:t>）</w:t>
      </w:r>
      <w:r>
        <w:rPr>
          <w:rFonts w:hint="eastAsia"/>
          <w:color w:val="auto"/>
          <w:sz w:val="24"/>
          <w:szCs w:val="24"/>
          <w:highlight w:val="none"/>
          <w:lang w:eastAsia="zh-CN"/>
        </w:rPr>
        <w:t>询比响应人</w:t>
      </w:r>
      <w:r>
        <w:rPr>
          <w:rFonts w:hint="eastAsia"/>
          <w:color w:val="auto"/>
          <w:sz w:val="24"/>
          <w:szCs w:val="24"/>
          <w:highlight w:val="none"/>
        </w:rPr>
        <w:t>的法定代表人（单位负责人）或其授权的代理人应参加谈判。</w:t>
      </w:r>
      <w:r>
        <w:rPr>
          <w:rFonts w:hint="eastAsia"/>
          <w:color w:val="auto"/>
          <w:sz w:val="24"/>
          <w:szCs w:val="24"/>
          <w:highlight w:val="none"/>
          <w:lang w:eastAsia="zh-CN"/>
        </w:rPr>
        <w:t>询比响应人</w:t>
      </w:r>
      <w:r>
        <w:rPr>
          <w:color w:val="auto"/>
          <w:sz w:val="24"/>
          <w:szCs w:val="24"/>
          <w:highlight w:val="none"/>
        </w:rPr>
        <w:t xml:space="preserve"> </w:t>
      </w:r>
      <w:r>
        <w:rPr>
          <w:rFonts w:hint="eastAsia"/>
          <w:color w:val="auto"/>
          <w:sz w:val="24"/>
          <w:szCs w:val="24"/>
          <w:highlight w:val="none"/>
        </w:rPr>
        <w:t>的法定代表人（单位负责人）或其授权的代理人在谈判中作岀的承诺构成响应文件的</w:t>
      </w:r>
      <w:r>
        <w:rPr>
          <w:color w:val="auto"/>
          <w:sz w:val="24"/>
          <w:szCs w:val="24"/>
          <w:highlight w:val="none"/>
        </w:rPr>
        <w:t xml:space="preserve"> </w:t>
      </w:r>
      <w:r>
        <w:rPr>
          <w:rFonts w:hint="eastAsia"/>
          <w:color w:val="auto"/>
          <w:sz w:val="24"/>
          <w:szCs w:val="24"/>
          <w:highlight w:val="none"/>
        </w:rPr>
        <w:t>组成部分。</w:t>
      </w:r>
    </w:p>
    <w:p w14:paraId="4CE73CF9">
      <w:pPr>
        <w:pStyle w:val="51"/>
        <w:tabs>
          <w:tab w:val="left" w:pos="358"/>
        </w:tabs>
        <w:spacing w:line="360" w:lineRule="auto"/>
        <w:ind w:firstLine="480" w:firstLineChars="200"/>
        <w:rPr>
          <w:rFonts w:cs="Times New Roman"/>
          <w:color w:val="auto"/>
          <w:sz w:val="24"/>
          <w:szCs w:val="24"/>
          <w:highlight w:val="none"/>
        </w:rPr>
      </w:pPr>
      <w:bookmarkStart w:id="205" w:name="bookmark1150"/>
      <w:r>
        <w:rPr>
          <w:color w:val="auto"/>
          <w:sz w:val="24"/>
          <w:szCs w:val="24"/>
          <w:highlight w:val="none"/>
        </w:rPr>
        <w:t>3</w:t>
      </w:r>
      <w:bookmarkEnd w:id="205"/>
      <w:r>
        <w:rPr>
          <w:rFonts w:hint="eastAsia"/>
          <w:color w:val="auto"/>
          <w:sz w:val="24"/>
          <w:szCs w:val="24"/>
          <w:highlight w:val="none"/>
        </w:rPr>
        <w:t>）谈判结束后，评审小组将要求所有参加谈判的</w:t>
      </w:r>
      <w:r>
        <w:rPr>
          <w:rFonts w:hint="eastAsia"/>
          <w:color w:val="auto"/>
          <w:sz w:val="24"/>
          <w:szCs w:val="24"/>
          <w:highlight w:val="none"/>
          <w:lang w:eastAsia="zh-CN"/>
        </w:rPr>
        <w:t>询比响应人</w:t>
      </w:r>
      <w:r>
        <w:rPr>
          <w:rFonts w:hint="eastAsia"/>
          <w:color w:val="auto"/>
          <w:sz w:val="24"/>
          <w:szCs w:val="24"/>
          <w:highlight w:val="none"/>
        </w:rPr>
        <w:t>在规定时间内递交最终报</w:t>
      </w:r>
      <w:r>
        <w:rPr>
          <w:color w:val="auto"/>
          <w:sz w:val="24"/>
          <w:szCs w:val="24"/>
          <w:highlight w:val="none"/>
        </w:rPr>
        <w:t xml:space="preserve"> </w:t>
      </w:r>
      <w:r>
        <w:rPr>
          <w:rFonts w:hint="eastAsia"/>
          <w:color w:val="auto"/>
          <w:sz w:val="24"/>
          <w:szCs w:val="24"/>
          <w:highlight w:val="none"/>
        </w:rPr>
        <w:t>价。最终报价应由</w:t>
      </w:r>
      <w:r>
        <w:rPr>
          <w:rFonts w:hint="eastAsia"/>
          <w:color w:val="auto"/>
          <w:sz w:val="24"/>
          <w:szCs w:val="24"/>
          <w:highlight w:val="none"/>
          <w:lang w:eastAsia="zh-CN"/>
        </w:rPr>
        <w:t>询比响应人</w:t>
      </w:r>
      <w:r>
        <w:rPr>
          <w:rFonts w:hint="eastAsia"/>
          <w:color w:val="auto"/>
          <w:sz w:val="24"/>
          <w:szCs w:val="24"/>
          <w:highlight w:val="none"/>
        </w:rPr>
        <w:t>的法定代表人（单位负责人）或其授权的代理人签字或加盖</w:t>
      </w:r>
      <w:r>
        <w:rPr>
          <w:color w:val="auto"/>
          <w:sz w:val="24"/>
          <w:szCs w:val="24"/>
          <w:highlight w:val="none"/>
        </w:rPr>
        <w:t xml:space="preserve"> </w:t>
      </w:r>
      <w:r>
        <w:rPr>
          <w:rFonts w:hint="eastAsia"/>
          <w:color w:val="auto"/>
          <w:sz w:val="24"/>
          <w:szCs w:val="24"/>
          <w:highlight w:val="none"/>
        </w:rPr>
        <w:t>单位章。最终报价是</w:t>
      </w:r>
      <w:r>
        <w:rPr>
          <w:rFonts w:hint="eastAsia"/>
          <w:color w:val="auto"/>
          <w:sz w:val="24"/>
          <w:szCs w:val="24"/>
          <w:highlight w:val="none"/>
          <w:lang w:eastAsia="zh-CN"/>
        </w:rPr>
        <w:t>询比响应人</w:t>
      </w:r>
      <w:r>
        <w:rPr>
          <w:rFonts w:hint="eastAsia"/>
          <w:color w:val="auto"/>
          <w:sz w:val="24"/>
          <w:szCs w:val="24"/>
          <w:highlight w:val="none"/>
        </w:rPr>
        <w:t>响应文件的组成部分。</w:t>
      </w:r>
    </w:p>
    <w:p w14:paraId="12B64B43">
      <w:pPr>
        <w:pStyle w:val="51"/>
        <w:tabs>
          <w:tab w:val="left" w:pos="1266"/>
        </w:tabs>
        <w:spacing w:line="360" w:lineRule="auto"/>
        <w:ind w:firstLine="480" w:firstLineChars="200"/>
        <w:rPr>
          <w:rFonts w:cs="Times New Roman"/>
          <w:color w:val="auto"/>
          <w:highlight w:val="none"/>
        </w:rPr>
      </w:pPr>
      <w:r>
        <w:rPr>
          <w:rFonts w:hint="eastAsia"/>
          <w:color w:val="auto"/>
          <w:sz w:val="24"/>
          <w:szCs w:val="24"/>
          <w:highlight w:val="none"/>
          <w:lang w:eastAsia="zh-CN"/>
        </w:rPr>
        <w:t>（</w:t>
      </w:r>
      <w:r>
        <w:rPr>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公开开启最终报价。</w:t>
      </w:r>
    </w:p>
    <w:p w14:paraId="363D60EA">
      <w:pPr>
        <w:pStyle w:val="51"/>
        <w:spacing w:line="360" w:lineRule="auto"/>
        <w:ind w:firstLine="500"/>
        <w:rPr>
          <w:rFonts w:cs="Times New Roman"/>
          <w:color w:val="auto"/>
          <w:highlight w:val="none"/>
        </w:rPr>
      </w:pPr>
      <w:r>
        <w:rPr>
          <w:rFonts w:hint="eastAsia"/>
          <w:color w:val="auto"/>
          <w:sz w:val="24"/>
          <w:szCs w:val="24"/>
          <w:highlight w:val="none"/>
        </w:rPr>
        <w:t>评审小组将在递交最终报价的截止时间公开开启最终报价，</w:t>
      </w:r>
      <w:r>
        <w:rPr>
          <w:rFonts w:hint="eastAsia"/>
          <w:color w:val="auto"/>
          <w:sz w:val="24"/>
          <w:szCs w:val="24"/>
          <w:highlight w:val="none"/>
          <w:lang w:eastAsia="zh-CN"/>
        </w:rPr>
        <w:t>询比响应人</w:t>
      </w:r>
      <w:r>
        <w:rPr>
          <w:rFonts w:hint="eastAsia"/>
          <w:color w:val="auto"/>
          <w:sz w:val="24"/>
          <w:szCs w:val="24"/>
          <w:highlight w:val="none"/>
        </w:rPr>
        <w:t>未派代表参加</w:t>
      </w:r>
      <w:r>
        <w:rPr>
          <w:color w:val="auto"/>
          <w:sz w:val="24"/>
          <w:szCs w:val="24"/>
          <w:highlight w:val="none"/>
        </w:rPr>
        <w:t xml:space="preserve"> </w:t>
      </w:r>
      <w:r>
        <w:rPr>
          <w:rFonts w:hint="eastAsia"/>
          <w:color w:val="auto"/>
          <w:sz w:val="24"/>
          <w:szCs w:val="24"/>
          <w:highlight w:val="none"/>
        </w:rPr>
        <w:t>开启会议的，视为默认开启结果。</w:t>
      </w:r>
    </w:p>
    <w:p w14:paraId="13CBBC75">
      <w:pPr>
        <w:pStyle w:val="51"/>
        <w:tabs>
          <w:tab w:val="left" w:pos="1266"/>
        </w:tabs>
        <w:spacing w:line="360" w:lineRule="auto"/>
        <w:ind w:firstLine="480" w:firstLineChars="200"/>
        <w:rPr>
          <w:rFonts w:cs="Times New Roman"/>
          <w:color w:val="auto"/>
          <w:highlight w:val="none"/>
        </w:rPr>
      </w:pPr>
      <w:bookmarkStart w:id="206" w:name="bookmark1152"/>
      <w:bookmarkEnd w:id="206"/>
      <w:r>
        <w:rPr>
          <w:rFonts w:hint="eastAsia"/>
          <w:color w:val="auto"/>
          <w:sz w:val="24"/>
          <w:szCs w:val="24"/>
          <w:highlight w:val="none"/>
          <w:lang w:eastAsia="zh-CN"/>
        </w:rPr>
        <w:t>（</w:t>
      </w:r>
      <w:r>
        <w:rPr>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详细评审。</w:t>
      </w:r>
    </w:p>
    <w:p w14:paraId="42EDDAD3">
      <w:pPr>
        <w:pStyle w:val="51"/>
        <w:spacing w:line="360" w:lineRule="auto"/>
        <w:ind w:firstLine="500"/>
        <w:rPr>
          <w:rFonts w:cs="Times New Roman"/>
          <w:color w:val="auto"/>
          <w:highlight w:val="none"/>
        </w:rPr>
      </w:pPr>
      <w:r>
        <w:rPr>
          <w:rFonts w:hint="eastAsia"/>
          <w:color w:val="auto"/>
          <w:sz w:val="24"/>
          <w:szCs w:val="24"/>
          <w:highlight w:val="none"/>
        </w:rPr>
        <w:t>评审小组将按本章第</w:t>
      </w:r>
      <w:r>
        <w:rPr>
          <w:color w:val="auto"/>
          <w:sz w:val="24"/>
          <w:szCs w:val="24"/>
          <w:highlight w:val="none"/>
        </w:rPr>
        <w:t>3</w:t>
      </w:r>
      <w:r>
        <w:rPr>
          <w:rFonts w:hint="eastAsia"/>
          <w:color w:val="auto"/>
          <w:sz w:val="24"/>
          <w:szCs w:val="24"/>
          <w:highlight w:val="none"/>
        </w:rPr>
        <w:t>条规定对响应文件及其最终报价进行详细评审。采用综合评分法的，评审小组有权对本章第</w:t>
      </w:r>
      <w:r>
        <w:rPr>
          <w:color w:val="auto"/>
          <w:sz w:val="24"/>
          <w:szCs w:val="24"/>
          <w:highlight w:val="none"/>
          <w:lang w:val="en-US" w:eastAsia="zh-CN"/>
        </w:rPr>
        <w:t xml:space="preserve">3. </w:t>
      </w:r>
      <w:r>
        <w:rPr>
          <w:color w:val="auto"/>
          <w:sz w:val="24"/>
          <w:szCs w:val="24"/>
          <w:highlight w:val="none"/>
        </w:rPr>
        <w:t>2</w:t>
      </w:r>
      <w:r>
        <w:rPr>
          <w:rFonts w:hint="eastAsia"/>
          <w:color w:val="auto"/>
          <w:sz w:val="24"/>
          <w:szCs w:val="24"/>
          <w:highlight w:val="none"/>
        </w:rPr>
        <w:t>项规定的评审基准价和第</w:t>
      </w:r>
      <w:r>
        <w:rPr>
          <w:color w:val="auto"/>
          <w:sz w:val="24"/>
          <w:szCs w:val="24"/>
          <w:highlight w:val="none"/>
          <w:lang w:val="en-US" w:eastAsia="zh-CN"/>
        </w:rPr>
        <w:t xml:space="preserve">3. </w:t>
      </w:r>
      <w:r>
        <w:rPr>
          <w:color w:val="auto"/>
          <w:sz w:val="24"/>
          <w:szCs w:val="24"/>
          <w:highlight w:val="none"/>
        </w:rPr>
        <w:t>3 (3)</w:t>
      </w:r>
      <w:r>
        <w:rPr>
          <w:rFonts w:hint="eastAsia"/>
          <w:color w:val="auto"/>
          <w:sz w:val="24"/>
          <w:szCs w:val="24"/>
          <w:highlight w:val="none"/>
        </w:rPr>
        <w:t>目规定的报</w:t>
      </w:r>
      <w:r>
        <w:rPr>
          <w:color w:val="auto"/>
          <w:sz w:val="24"/>
          <w:szCs w:val="24"/>
          <w:highlight w:val="none"/>
        </w:rPr>
        <w:t xml:space="preserve"> </w:t>
      </w:r>
      <w:r>
        <w:rPr>
          <w:rFonts w:hint="eastAsia"/>
          <w:color w:val="auto"/>
          <w:sz w:val="24"/>
          <w:szCs w:val="24"/>
          <w:highlight w:val="none"/>
        </w:rPr>
        <w:t>价评分标准进行调整，但评审小组应在谈判开始前向</w:t>
      </w:r>
      <w:r>
        <w:rPr>
          <w:rFonts w:hint="eastAsia"/>
          <w:color w:val="auto"/>
          <w:sz w:val="24"/>
          <w:szCs w:val="24"/>
          <w:highlight w:val="none"/>
          <w:lang w:eastAsia="zh-CN"/>
        </w:rPr>
        <w:t>询比响应人</w:t>
      </w:r>
      <w:r>
        <w:rPr>
          <w:rFonts w:hint="eastAsia"/>
          <w:color w:val="auto"/>
          <w:sz w:val="24"/>
          <w:szCs w:val="24"/>
          <w:highlight w:val="none"/>
        </w:rPr>
        <w:t>公布，未公布的，视为评</w:t>
      </w:r>
      <w:r>
        <w:rPr>
          <w:color w:val="auto"/>
          <w:sz w:val="24"/>
          <w:szCs w:val="24"/>
          <w:highlight w:val="none"/>
        </w:rPr>
        <w:t xml:space="preserve"> </w:t>
      </w:r>
      <w:r>
        <w:rPr>
          <w:rFonts w:hint="eastAsia"/>
          <w:color w:val="auto"/>
          <w:sz w:val="24"/>
          <w:szCs w:val="24"/>
          <w:highlight w:val="none"/>
        </w:rPr>
        <w:t>审基准价和报价评分标准不作调整；详细评审标准中除报价评审标准外的其他评审标</w:t>
      </w:r>
      <w:r>
        <w:rPr>
          <w:color w:val="auto"/>
          <w:sz w:val="24"/>
          <w:szCs w:val="24"/>
          <w:highlight w:val="none"/>
        </w:rPr>
        <w:t xml:space="preserve"> </w:t>
      </w:r>
      <w:r>
        <w:rPr>
          <w:rFonts w:hint="eastAsia"/>
          <w:color w:val="auto"/>
          <w:sz w:val="24"/>
          <w:szCs w:val="24"/>
          <w:highlight w:val="none"/>
        </w:rPr>
        <w:t>准不作调整。</w:t>
      </w:r>
    </w:p>
    <w:p w14:paraId="46B265D3">
      <w:pPr>
        <w:pStyle w:val="51"/>
        <w:spacing w:line="360" w:lineRule="auto"/>
        <w:ind w:firstLine="500"/>
        <w:rPr>
          <w:rFonts w:cs="Times New Roman"/>
          <w:color w:val="auto"/>
          <w:highlight w:val="none"/>
        </w:rPr>
      </w:pPr>
      <w:r>
        <w:rPr>
          <w:rFonts w:hint="eastAsia"/>
          <w:color w:val="auto"/>
          <w:sz w:val="24"/>
          <w:szCs w:val="24"/>
          <w:highlight w:val="none"/>
        </w:rPr>
        <w:t>通过谈判后，评审小组认为所有</w:t>
      </w:r>
      <w:r>
        <w:rPr>
          <w:rFonts w:hint="eastAsia"/>
          <w:color w:val="auto"/>
          <w:sz w:val="24"/>
          <w:szCs w:val="24"/>
          <w:highlight w:val="none"/>
          <w:lang w:eastAsia="zh-CN"/>
        </w:rPr>
        <w:t>询比响应人</w:t>
      </w:r>
      <w:r>
        <w:rPr>
          <w:rFonts w:hint="eastAsia"/>
          <w:color w:val="auto"/>
          <w:sz w:val="24"/>
          <w:szCs w:val="24"/>
          <w:highlight w:val="none"/>
        </w:rPr>
        <w:t>的最终报价仍然不合理的，应向釆购人提</w:t>
      </w:r>
      <w:r>
        <w:rPr>
          <w:color w:val="auto"/>
          <w:sz w:val="24"/>
          <w:szCs w:val="24"/>
          <w:highlight w:val="none"/>
        </w:rPr>
        <w:t xml:space="preserve"> </w:t>
      </w:r>
      <w:r>
        <w:rPr>
          <w:rFonts w:hint="eastAsia"/>
          <w:color w:val="auto"/>
          <w:sz w:val="24"/>
          <w:szCs w:val="24"/>
          <w:highlight w:val="none"/>
        </w:rPr>
        <w:t>出终止采购建议。</w:t>
      </w:r>
    </w:p>
    <w:p w14:paraId="7DEA2441">
      <w:pPr>
        <w:pStyle w:val="51"/>
        <w:tabs>
          <w:tab w:val="left" w:pos="1266"/>
        </w:tabs>
        <w:spacing w:line="360" w:lineRule="auto"/>
        <w:ind w:firstLine="480" w:firstLineChars="200"/>
        <w:rPr>
          <w:rFonts w:cs="Times New Roman"/>
          <w:color w:val="auto"/>
          <w:highlight w:val="none"/>
        </w:rPr>
      </w:pPr>
      <w:bookmarkStart w:id="207" w:name="bookmark1153"/>
      <w:bookmarkEnd w:id="207"/>
      <w:r>
        <w:rPr>
          <w:rFonts w:hint="eastAsia"/>
          <w:color w:val="auto"/>
          <w:sz w:val="24"/>
          <w:szCs w:val="24"/>
          <w:highlight w:val="none"/>
          <w:lang w:eastAsia="zh-CN"/>
        </w:rPr>
        <w:t>（</w:t>
      </w:r>
      <w:r>
        <w:rPr>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编写评审报告。</w:t>
      </w:r>
    </w:p>
    <w:p w14:paraId="05B85C65">
      <w:pPr>
        <w:pStyle w:val="51"/>
        <w:spacing w:line="360" w:lineRule="auto"/>
        <w:ind w:firstLine="500"/>
        <w:rPr>
          <w:rFonts w:cs="Times New Roman"/>
          <w:color w:val="auto"/>
          <w:highlight w:val="none"/>
        </w:rPr>
      </w:pPr>
      <w:r>
        <w:rPr>
          <w:rFonts w:hint="eastAsia"/>
          <w:color w:val="auto"/>
          <w:sz w:val="24"/>
          <w:szCs w:val="24"/>
          <w:highlight w:val="none"/>
        </w:rPr>
        <w:t>评审小组按本章第</w:t>
      </w:r>
      <w:r>
        <w:rPr>
          <w:color w:val="auto"/>
          <w:sz w:val="24"/>
          <w:szCs w:val="24"/>
          <w:highlight w:val="none"/>
          <w:lang w:val="en-US" w:eastAsia="zh-CN"/>
        </w:rPr>
        <w:t>4.2</w:t>
      </w:r>
      <w:r>
        <w:rPr>
          <w:rFonts w:hint="eastAsia"/>
          <w:color w:val="auto"/>
          <w:sz w:val="24"/>
          <w:szCs w:val="24"/>
          <w:highlight w:val="none"/>
        </w:rPr>
        <w:t>款规定推荐候选成交</w:t>
      </w:r>
      <w:r>
        <w:rPr>
          <w:rFonts w:hint="eastAsia"/>
          <w:color w:val="auto"/>
          <w:sz w:val="24"/>
          <w:szCs w:val="24"/>
          <w:highlight w:val="none"/>
          <w:lang w:eastAsia="zh-CN"/>
        </w:rPr>
        <w:t>询比响应人</w:t>
      </w:r>
      <w:r>
        <w:rPr>
          <w:rFonts w:hint="eastAsia"/>
          <w:color w:val="auto"/>
          <w:sz w:val="24"/>
          <w:szCs w:val="24"/>
          <w:highlight w:val="none"/>
        </w:rPr>
        <w:t>或按本章第</w:t>
      </w:r>
      <w:r>
        <w:rPr>
          <w:color w:val="auto"/>
          <w:sz w:val="24"/>
          <w:szCs w:val="24"/>
          <w:highlight w:val="none"/>
          <w:lang w:val="en-US" w:eastAsia="zh-CN"/>
        </w:rPr>
        <w:t xml:space="preserve">5.2. </w:t>
      </w:r>
      <w:r>
        <w:rPr>
          <w:color w:val="auto"/>
          <w:sz w:val="24"/>
          <w:szCs w:val="24"/>
          <w:highlight w:val="none"/>
        </w:rPr>
        <w:t>1 (3)</w:t>
      </w:r>
      <w:r>
        <w:rPr>
          <w:rFonts w:hint="eastAsia"/>
          <w:color w:val="auto"/>
          <w:sz w:val="24"/>
          <w:szCs w:val="24"/>
          <w:highlight w:val="none"/>
        </w:rPr>
        <w:t>规定提</w:t>
      </w:r>
      <w:r>
        <w:rPr>
          <w:color w:val="auto"/>
          <w:sz w:val="24"/>
          <w:szCs w:val="24"/>
          <w:highlight w:val="none"/>
        </w:rPr>
        <w:t xml:space="preserve"> </w:t>
      </w:r>
      <w:r>
        <w:rPr>
          <w:rFonts w:hint="eastAsia"/>
          <w:color w:val="auto"/>
          <w:sz w:val="24"/>
          <w:szCs w:val="24"/>
          <w:highlight w:val="none"/>
        </w:rPr>
        <w:t>出终止采购建议，并向</w:t>
      </w:r>
      <w:r>
        <w:rPr>
          <w:rFonts w:hint="eastAsia"/>
          <w:color w:val="auto"/>
          <w:highlight w:val="none"/>
          <w:lang w:val="en-US" w:eastAsia="zh-CN"/>
        </w:rPr>
        <w:t>采购人</w:t>
      </w:r>
      <w:r>
        <w:rPr>
          <w:rFonts w:hint="eastAsia"/>
          <w:color w:val="auto"/>
          <w:sz w:val="24"/>
          <w:szCs w:val="24"/>
          <w:highlight w:val="none"/>
        </w:rPr>
        <w:t>提交书面评审报告。</w:t>
      </w:r>
    </w:p>
    <w:p w14:paraId="6EF342D3">
      <w:pPr>
        <w:pStyle w:val="51"/>
        <w:spacing w:line="360" w:lineRule="auto"/>
        <w:jc w:val="left"/>
        <w:rPr>
          <w:rFonts w:cs="Times New Roman"/>
          <w:color w:val="auto"/>
          <w:highlight w:val="none"/>
        </w:rPr>
      </w:pPr>
      <w:r>
        <w:rPr>
          <w:color w:val="auto"/>
          <w:sz w:val="24"/>
          <w:szCs w:val="24"/>
          <w:highlight w:val="none"/>
          <w:lang w:val="en-US" w:eastAsia="zh-CN"/>
        </w:rPr>
        <w:t xml:space="preserve">5. 2. </w:t>
      </w:r>
      <w:r>
        <w:rPr>
          <w:color w:val="auto"/>
          <w:sz w:val="24"/>
          <w:szCs w:val="24"/>
          <w:highlight w:val="none"/>
        </w:rPr>
        <w:t>2</w:t>
      </w:r>
      <w:r>
        <w:rPr>
          <w:rFonts w:hint="eastAsia"/>
          <w:color w:val="auto"/>
          <w:sz w:val="24"/>
          <w:szCs w:val="24"/>
          <w:highlight w:val="none"/>
        </w:rPr>
        <w:t>参照直接釆购方式评审</w:t>
      </w:r>
    </w:p>
    <w:p w14:paraId="128ACFA3">
      <w:pPr>
        <w:pStyle w:val="51"/>
        <w:tabs>
          <w:tab w:val="left" w:pos="1271"/>
        </w:tabs>
        <w:spacing w:line="360" w:lineRule="auto"/>
        <w:ind w:firstLine="480" w:firstLineChars="200"/>
        <w:rPr>
          <w:rFonts w:cs="Times New Roman"/>
          <w:color w:val="auto"/>
          <w:highlight w:val="none"/>
        </w:rPr>
      </w:pPr>
      <w:bookmarkStart w:id="208" w:name="bookmark1154"/>
      <w:bookmarkEnd w:id="208"/>
      <w:r>
        <w:rPr>
          <w:rFonts w:hint="eastAsia"/>
          <w:color w:val="auto"/>
          <w:sz w:val="24"/>
          <w:szCs w:val="24"/>
          <w:highlight w:val="none"/>
          <w:lang w:eastAsia="zh-CN"/>
        </w:rPr>
        <w:t>（</w:t>
      </w:r>
      <w:r>
        <w:rPr>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谈判。</w:t>
      </w:r>
    </w:p>
    <w:p w14:paraId="2E67E474">
      <w:pPr>
        <w:pStyle w:val="51"/>
        <w:spacing w:line="360" w:lineRule="auto"/>
        <w:ind w:firstLine="500"/>
        <w:rPr>
          <w:rFonts w:cs="Times New Roman"/>
          <w:color w:val="auto"/>
          <w:highlight w:val="none"/>
        </w:rPr>
      </w:pPr>
      <w:r>
        <w:rPr>
          <w:rFonts w:hint="eastAsia"/>
          <w:color w:val="auto"/>
          <w:sz w:val="24"/>
          <w:szCs w:val="24"/>
          <w:highlight w:val="none"/>
        </w:rPr>
        <w:t>评审小组所有成员集中与</w:t>
      </w:r>
      <w:r>
        <w:rPr>
          <w:rFonts w:hint="eastAsia"/>
          <w:color w:val="auto"/>
          <w:sz w:val="24"/>
          <w:szCs w:val="24"/>
          <w:highlight w:val="none"/>
          <w:lang w:eastAsia="zh-CN"/>
        </w:rPr>
        <w:t>询比响应人</w:t>
      </w:r>
      <w:r>
        <w:rPr>
          <w:rFonts w:hint="eastAsia"/>
          <w:color w:val="auto"/>
          <w:sz w:val="24"/>
          <w:szCs w:val="24"/>
          <w:highlight w:val="none"/>
        </w:rPr>
        <w:t>进行谈判，</w:t>
      </w:r>
      <w:r>
        <w:rPr>
          <w:rFonts w:hint="eastAsia"/>
          <w:color w:val="auto"/>
          <w:sz w:val="24"/>
          <w:szCs w:val="24"/>
          <w:highlight w:val="none"/>
          <w:lang w:eastAsia="zh-CN"/>
        </w:rPr>
        <w:t>询比响应人</w:t>
      </w:r>
      <w:r>
        <w:rPr>
          <w:rFonts w:hint="eastAsia"/>
          <w:color w:val="auto"/>
          <w:sz w:val="24"/>
          <w:szCs w:val="24"/>
          <w:highlight w:val="none"/>
        </w:rPr>
        <w:t>的法定代表人</w:t>
      </w:r>
      <w:r>
        <w:rPr>
          <w:color w:val="auto"/>
          <w:sz w:val="24"/>
          <w:szCs w:val="24"/>
          <w:highlight w:val="none"/>
        </w:rPr>
        <w:t>(</w:t>
      </w:r>
      <w:r>
        <w:rPr>
          <w:rFonts w:hint="eastAsia"/>
          <w:color w:val="auto"/>
          <w:sz w:val="24"/>
          <w:szCs w:val="24"/>
          <w:highlight w:val="none"/>
        </w:rPr>
        <w:t>单位负责人</w:t>
      </w:r>
      <w:r>
        <w:rPr>
          <w:color w:val="auto"/>
          <w:sz w:val="24"/>
          <w:szCs w:val="24"/>
          <w:highlight w:val="none"/>
        </w:rPr>
        <w:t xml:space="preserve">) </w:t>
      </w:r>
      <w:r>
        <w:rPr>
          <w:rFonts w:hint="eastAsia"/>
          <w:color w:val="auto"/>
          <w:sz w:val="24"/>
          <w:szCs w:val="24"/>
          <w:highlight w:val="none"/>
        </w:rPr>
        <w:t>或其授权的代理人应参加谈判。在谈判过程中，评审小组可根据谈判情况修改和补充</w:t>
      </w:r>
      <w:r>
        <w:rPr>
          <w:color w:val="auto"/>
          <w:sz w:val="24"/>
          <w:szCs w:val="24"/>
          <w:highlight w:val="none"/>
        </w:rPr>
        <w:t xml:space="preserve"> </w:t>
      </w:r>
      <w:r>
        <w:rPr>
          <w:rFonts w:hint="eastAsia"/>
          <w:color w:val="auto"/>
          <w:sz w:val="24"/>
          <w:szCs w:val="24"/>
          <w:highlight w:val="none"/>
        </w:rPr>
        <w:t>采购文件中的非实质性内容，但不得改变可能影响初步评审结果的内容。</w:t>
      </w:r>
      <w:r>
        <w:rPr>
          <w:rFonts w:hint="eastAsia"/>
          <w:color w:val="auto"/>
          <w:sz w:val="24"/>
          <w:szCs w:val="24"/>
          <w:highlight w:val="none"/>
          <w:lang w:eastAsia="zh-CN"/>
        </w:rPr>
        <w:t>询比响应人</w:t>
      </w:r>
      <w:r>
        <w:rPr>
          <w:rFonts w:hint="eastAsia"/>
          <w:color w:val="auto"/>
          <w:sz w:val="24"/>
          <w:szCs w:val="24"/>
          <w:highlight w:val="none"/>
        </w:rPr>
        <w:t>的法</w:t>
      </w:r>
      <w:r>
        <w:rPr>
          <w:color w:val="auto"/>
          <w:sz w:val="24"/>
          <w:szCs w:val="24"/>
          <w:highlight w:val="none"/>
        </w:rPr>
        <w:t xml:space="preserve"> </w:t>
      </w:r>
      <w:r>
        <w:rPr>
          <w:rFonts w:hint="eastAsia"/>
          <w:color w:val="auto"/>
          <w:sz w:val="24"/>
          <w:szCs w:val="24"/>
          <w:highlight w:val="none"/>
        </w:rPr>
        <w:t>定代表人</w:t>
      </w:r>
      <w:r>
        <w:rPr>
          <w:color w:val="auto"/>
          <w:sz w:val="24"/>
          <w:szCs w:val="24"/>
          <w:highlight w:val="none"/>
        </w:rPr>
        <w:t>(</w:t>
      </w:r>
      <w:r>
        <w:rPr>
          <w:rFonts w:hint="eastAsia"/>
          <w:color w:val="auto"/>
          <w:sz w:val="24"/>
          <w:szCs w:val="24"/>
          <w:highlight w:val="none"/>
        </w:rPr>
        <w:t>单位负责人或其授权的代理人</w:t>
      </w:r>
      <w:r>
        <w:rPr>
          <w:color w:val="auto"/>
          <w:sz w:val="24"/>
          <w:szCs w:val="24"/>
          <w:highlight w:val="none"/>
        </w:rPr>
        <w:t>)</w:t>
      </w:r>
      <w:r>
        <w:rPr>
          <w:rFonts w:hint="eastAsia"/>
          <w:color w:val="auto"/>
          <w:sz w:val="24"/>
          <w:szCs w:val="24"/>
          <w:highlight w:val="none"/>
        </w:rPr>
        <w:t>在谈判中作出的承诺构成响应文件的组成</w:t>
      </w:r>
      <w:r>
        <w:rPr>
          <w:color w:val="auto"/>
          <w:sz w:val="24"/>
          <w:szCs w:val="24"/>
          <w:highlight w:val="none"/>
        </w:rPr>
        <w:t xml:space="preserve"> </w:t>
      </w:r>
      <w:r>
        <w:rPr>
          <w:rFonts w:hint="eastAsia"/>
          <w:color w:val="auto"/>
          <w:sz w:val="24"/>
          <w:szCs w:val="24"/>
          <w:highlight w:val="none"/>
        </w:rPr>
        <w:t>部分。评审小组可根据需要，安排多轮谈判。</w:t>
      </w:r>
    </w:p>
    <w:p w14:paraId="210587F7">
      <w:pPr>
        <w:pStyle w:val="51"/>
        <w:tabs>
          <w:tab w:val="left" w:pos="1271"/>
        </w:tabs>
        <w:spacing w:line="360" w:lineRule="auto"/>
        <w:ind w:firstLine="480" w:firstLineChars="200"/>
        <w:rPr>
          <w:rFonts w:cs="Times New Roman"/>
          <w:color w:val="auto"/>
          <w:highlight w:val="none"/>
        </w:rPr>
      </w:pPr>
      <w:bookmarkStart w:id="209" w:name="bookmark1155"/>
      <w:bookmarkEnd w:id="209"/>
      <w:r>
        <w:rPr>
          <w:rFonts w:hint="eastAsia"/>
          <w:color w:val="auto"/>
          <w:sz w:val="24"/>
          <w:szCs w:val="24"/>
          <w:highlight w:val="none"/>
          <w:lang w:eastAsia="zh-CN"/>
        </w:rPr>
        <w:t>（</w:t>
      </w:r>
      <w:r>
        <w:rPr>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详细评审。</w:t>
      </w:r>
    </w:p>
    <w:p w14:paraId="4750D861">
      <w:pPr>
        <w:pStyle w:val="51"/>
        <w:spacing w:line="360" w:lineRule="auto"/>
        <w:ind w:firstLine="500"/>
        <w:rPr>
          <w:rFonts w:cs="Times New Roman"/>
          <w:color w:val="auto"/>
          <w:highlight w:val="none"/>
        </w:rPr>
      </w:pPr>
      <w:r>
        <w:rPr>
          <w:rFonts w:hint="eastAsia"/>
          <w:color w:val="auto"/>
          <w:sz w:val="24"/>
          <w:szCs w:val="24"/>
          <w:highlight w:val="none"/>
        </w:rPr>
        <w:t>评审小组通过对采购成本、供应能力、风险管控、采购目标等的分析，对</w:t>
      </w:r>
      <w:r>
        <w:rPr>
          <w:rFonts w:hint="eastAsia"/>
          <w:color w:val="auto"/>
          <w:sz w:val="24"/>
          <w:szCs w:val="24"/>
          <w:highlight w:val="none"/>
          <w:lang w:eastAsia="zh-CN"/>
        </w:rPr>
        <w:t>询比响应人</w:t>
      </w:r>
      <w:r>
        <w:rPr>
          <w:color w:val="auto"/>
          <w:sz w:val="24"/>
          <w:szCs w:val="24"/>
          <w:highlight w:val="none"/>
        </w:rPr>
        <w:t xml:space="preserve"> </w:t>
      </w:r>
      <w:r>
        <w:rPr>
          <w:rFonts w:hint="eastAsia"/>
          <w:color w:val="auto"/>
          <w:sz w:val="24"/>
          <w:szCs w:val="24"/>
          <w:highlight w:val="none"/>
        </w:rPr>
        <w:t>拟提供标的的技术、商务进行物有所值综合评价。</w:t>
      </w:r>
    </w:p>
    <w:p w14:paraId="18439377">
      <w:pPr>
        <w:pStyle w:val="51"/>
        <w:tabs>
          <w:tab w:val="left" w:pos="1271"/>
        </w:tabs>
        <w:spacing w:line="360" w:lineRule="auto"/>
        <w:ind w:firstLine="480" w:firstLineChars="200"/>
        <w:rPr>
          <w:rFonts w:cs="Times New Roman"/>
          <w:color w:val="auto"/>
          <w:highlight w:val="none"/>
        </w:rPr>
      </w:pPr>
      <w:bookmarkStart w:id="210" w:name="bookmark1156"/>
      <w:bookmarkEnd w:id="210"/>
      <w:r>
        <w:rPr>
          <w:rFonts w:hint="eastAsia"/>
          <w:color w:val="auto"/>
          <w:sz w:val="24"/>
          <w:szCs w:val="24"/>
          <w:highlight w:val="none"/>
          <w:lang w:eastAsia="zh-CN"/>
        </w:rPr>
        <w:t>（</w:t>
      </w:r>
      <w:r>
        <w:rPr>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编写评审报告。</w:t>
      </w:r>
    </w:p>
    <w:p w14:paraId="4D038119">
      <w:pPr>
        <w:pStyle w:val="51"/>
        <w:tabs>
          <w:tab w:val="left" w:pos="358"/>
        </w:tabs>
        <w:spacing w:line="360" w:lineRule="auto"/>
        <w:ind w:firstLine="480" w:firstLineChars="200"/>
        <w:rPr>
          <w:rFonts w:cs="Times New Roman"/>
          <w:color w:val="auto"/>
          <w:sz w:val="24"/>
          <w:szCs w:val="24"/>
          <w:highlight w:val="none"/>
        </w:rPr>
      </w:pPr>
      <w:r>
        <w:rPr>
          <w:rFonts w:hint="eastAsia"/>
          <w:color w:val="auto"/>
          <w:sz w:val="24"/>
          <w:szCs w:val="24"/>
          <w:highlight w:val="none"/>
        </w:rPr>
        <w:t>评审小组根据预期的谈判目标综合谈判纪要编写评审报告，推荐候选成交</w:t>
      </w:r>
      <w:r>
        <w:rPr>
          <w:rFonts w:hint="eastAsia"/>
          <w:color w:val="auto"/>
          <w:sz w:val="24"/>
          <w:szCs w:val="24"/>
          <w:highlight w:val="none"/>
          <w:lang w:eastAsia="zh-CN"/>
        </w:rPr>
        <w:t>询比响应人</w:t>
      </w:r>
      <w:r>
        <w:rPr>
          <w:color w:val="auto"/>
          <w:sz w:val="24"/>
          <w:szCs w:val="24"/>
          <w:highlight w:val="none"/>
        </w:rPr>
        <w:t xml:space="preserve"> </w:t>
      </w:r>
      <w:r>
        <w:rPr>
          <w:rFonts w:hint="eastAsia"/>
          <w:color w:val="auto"/>
          <w:sz w:val="24"/>
          <w:szCs w:val="24"/>
          <w:highlight w:val="none"/>
        </w:rPr>
        <w:t>或提出谈判终止建议。</w:t>
      </w:r>
    </w:p>
    <w:p w14:paraId="14357335">
      <w:pPr>
        <w:spacing w:line="360" w:lineRule="auto"/>
        <w:ind w:firstLine="964" w:firstLineChars="200"/>
        <w:rPr>
          <w:rFonts w:ascii="宋体" w:cs="Times New Roman"/>
          <w:b/>
          <w:bCs/>
          <w:color w:val="auto"/>
          <w:sz w:val="48"/>
          <w:szCs w:val="48"/>
          <w:highlight w:val="none"/>
        </w:rPr>
      </w:pPr>
    </w:p>
    <w:p w14:paraId="39911B5B">
      <w:pPr>
        <w:spacing w:line="360" w:lineRule="auto"/>
        <w:jc w:val="center"/>
        <w:rPr>
          <w:rFonts w:ascii="宋体" w:cs="Times New Roman"/>
          <w:b/>
          <w:bCs/>
          <w:color w:val="auto"/>
          <w:spacing w:val="20"/>
          <w:sz w:val="40"/>
          <w:szCs w:val="40"/>
          <w:highlight w:val="none"/>
        </w:rPr>
      </w:pPr>
      <w:bookmarkStart w:id="211" w:name="_Toc3847"/>
      <w:r>
        <w:rPr>
          <w:rFonts w:hint="eastAsia" w:ascii="宋体" w:hAnsi="宋体" w:cs="宋体"/>
          <w:b/>
          <w:bCs/>
          <w:color w:val="auto"/>
          <w:sz w:val="40"/>
          <w:szCs w:val="40"/>
          <w:highlight w:val="none"/>
        </w:rPr>
        <w:t>第四章</w:t>
      </w:r>
      <w:r>
        <w:rPr>
          <w:rFonts w:ascii="宋体" w:hAnsi="宋体" w:cs="宋体"/>
          <w:b/>
          <w:bCs/>
          <w:color w:val="auto"/>
          <w:sz w:val="40"/>
          <w:szCs w:val="40"/>
          <w:highlight w:val="none"/>
        </w:rPr>
        <w:t xml:space="preserve">  </w:t>
      </w:r>
      <w:r>
        <w:rPr>
          <w:rFonts w:hint="eastAsia" w:ascii="宋体" w:hAnsi="宋体" w:cs="宋体"/>
          <w:b/>
          <w:bCs/>
          <w:color w:val="auto"/>
          <w:sz w:val="40"/>
          <w:szCs w:val="40"/>
          <w:highlight w:val="none"/>
        </w:rPr>
        <w:t>合同条款及格式</w:t>
      </w:r>
      <w:bookmarkEnd w:id="211"/>
    </w:p>
    <w:p w14:paraId="681400C8">
      <w:pPr>
        <w:spacing w:line="360" w:lineRule="auto"/>
        <w:jc w:val="center"/>
        <w:rPr>
          <w:rFonts w:ascii="宋体" w:cs="Times New Roman"/>
          <w:b/>
          <w:bCs/>
          <w:color w:val="auto"/>
          <w:sz w:val="52"/>
          <w:szCs w:val="52"/>
          <w:highlight w:val="none"/>
        </w:rPr>
      </w:pPr>
    </w:p>
    <w:p w14:paraId="32BF98DF">
      <w:pPr>
        <w:spacing w:line="360" w:lineRule="auto"/>
        <w:jc w:val="center"/>
        <w:rPr>
          <w:rFonts w:ascii="宋体" w:cs="Times New Roman"/>
          <w:b w:val="0"/>
          <w:bCs w:val="0"/>
          <w:color w:val="auto"/>
          <w:sz w:val="22"/>
          <w:szCs w:val="22"/>
          <w:highlight w:val="none"/>
        </w:rPr>
      </w:pPr>
      <w:r>
        <w:rPr>
          <w:rFonts w:hint="eastAsia" w:ascii="宋体" w:cs="Times New Roman"/>
          <w:b w:val="0"/>
          <w:bCs w:val="0"/>
          <w:color w:val="auto"/>
          <w:sz w:val="22"/>
          <w:szCs w:val="22"/>
          <w:highlight w:val="none"/>
        </w:rPr>
        <w:t>(合同格式最终以双方签订格式为准)</w:t>
      </w:r>
    </w:p>
    <w:p w14:paraId="12A75C7B">
      <w:pPr>
        <w:spacing w:line="360" w:lineRule="auto"/>
        <w:jc w:val="center"/>
        <w:rPr>
          <w:rFonts w:hint="eastAsia" w:ascii="宋体" w:hAnsi="宋体" w:cs="宋体"/>
          <w:b/>
          <w:bCs/>
          <w:color w:val="auto"/>
          <w:sz w:val="52"/>
          <w:szCs w:val="52"/>
        </w:rPr>
      </w:pPr>
      <w:bookmarkStart w:id="212" w:name="_Toc17197"/>
    </w:p>
    <w:p w14:paraId="0356C42D">
      <w:pPr>
        <w:spacing w:line="360" w:lineRule="auto"/>
        <w:jc w:val="center"/>
        <w:rPr>
          <w:rFonts w:ascii="宋体" w:cs="Times New Roman"/>
          <w:b/>
          <w:bCs/>
          <w:color w:val="auto"/>
          <w:sz w:val="52"/>
          <w:szCs w:val="52"/>
        </w:rPr>
      </w:pPr>
      <w:r>
        <w:rPr>
          <w:rFonts w:hint="eastAsia" w:ascii="宋体" w:hAnsi="宋体" w:cs="宋体"/>
          <w:b/>
          <w:bCs/>
          <w:color w:val="auto"/>
          <w:sz w:val="52"/>
          <w:szCs w:val="52"/>
        </w:rPr>
        <w:t>项目合同书</w:t>
      </w:r>
    </w:p>
    <w:p w14:paraId="0E4806B0">
      <w:pPr>
        <w:autoSpaceDE w:val="0"/>
        <w:autoSpaceDN w:val="0"/>
        <w:spacing w:line="360" w:lineRule="auto"/>
        <w:ind w:firstLine="640"/>
        <w:rPr>
          <w:rFonts w:ascii="宋体" w:cs="Times New Roman"/>
          <w:color w:val="auto"/>
          <w:sz w:val="32"/>
          <w:szCs w:val="32"/>
        </w:rPr>
      </w:pPr>
    </w:p>
    <w:p w14:paraId="2EAE743B">
      <w:pPr>
        <w:pStyle w:val="31"/>
        <w:spacing w:before="0" w:after="0" w:line="360" w:lineRule="auto"/>
        <w:outlineLvl w:val="9"/>
        <w:rPr>
          <w:rFonts w:hint="eastAsia" w:ascii="宋体" w:hAnsi="宋体" w:eastAsia="宋体" w:cs="Times New Roman"/>
          <w:color w:val="auto"/>
        </w:rPr>
      </w:pPr>
    </w:p>
    <w:p w14:paraId="14B31C3F">
      <w:pPr>
        <w:pStyle w:val="32"/>
        <w:rPr>
          <w:rFonts w:hint="eastAsia"/>
          <w:color w:val="auto"/>
        </w:rPr>
      </w:pPr>
    </w:p>
    <w:p w14:paraId="1D5EED27">
      <w:pPr>
        <w:pStyle w:val="31"/>
        <w:numPr>
          <w:ilvl w:val="0"/>
          <w:numId w:val="0"/>
        </w:numPr>
        <w:rPr>
          <w:rFonts w:hint="eastAsia"/>
          <w:color w:val="auto"/>
        </w:rPr>
      </w:pPr>
    </w:p>
    <w:p w14:paraId="0B52C732">
      <w:pPr>
        <w:pStyle w:val="32"/>
        <w:rPr>
          <w:color w:val="auto"/>
        </w:rPr>
      </w:pPr>
    </w:p>
    <w:p w14:paraId="457427C9">
      <w:pPr>
        <w:autoSpaceDE w:val="0"/>
        <w:autoSpaceDN w:val="0"/>
        <w:spacing w:line="360" w:lineRule="auto"/>
        <w:rPr>
          <w:rFonts w:ascii="宋体" w:cs="Times New Roman"/>
          <w:color w:val="auto"/>
          <w:sz w:val="32"/>
          <w:szCs w:val="32"/>
        </w:rPr>
      </w:pPr>
    </w:p>
    <w:p w14:paraId="624D84EC">
      <w:pPr>
        <w:autoSpaceDE w:val="0"/>
        <w:autoSpaceDN w:val="0"/>
        <w:spacing w:line="360" w:lineRule="auto"/>
        <w:ind w:left="3930" w:leftChars="300" w:hanging="3300" w:hangingChars="1100"/>
        <w:jc w:val="left"/>
        <w:rPr>
          <w:rFonts w:hint="eastAsia" w:ascii="宋体" w:hAnsi="宋体" w:eastAsia="宋体" w:cs="宋体"/>
          <w:color w:val="auto"/>
          <w:sz w:val="30"/>
          <w:szCs w:val="30"/>
          <w:u w:val="single"/>
          <w:lang w:val="en-US" w:eastAsia="zh-CN"/>
        </w:rPr>
      </w:pPr>
      <w:r>
        <w:rPr>
          <w:rFonts w:hint="eastAsia" w:ascii="宋体" w:hAnsi="宋体" w:cs="宋体"/>
          <w:color w:val="auto"/>
          <w:sz w:val="30"/>
          <w:szCs w:val="30"/>
          <w:lang w:val="zh-CN"/>
        </w:rPr>
        <w:t>采购项目名称：</w:t>
      </w:r>
      <w:r>
        <w:rPr>
          <w:rFonts w:hint="eastAsia" w:ascii="宋体" w:hAnsi="宋体" w:cs="宋体"/>
          <w:color w:val="auto"/>
          <w:sz w:val="30"/>
          <w:szCs w:val="30"/>
          <w:u w:val="single"/>
          <w:lang w:val="zh-CN"/>
        </w:rPr>
        <w:t>青海民族大学东序校区清香餐厅引入社会餐饮企业经营采购项目</w:t>
      </w:r>
      <w:r>
        <w:rPr>
          <w:rFonts w:hint="eastAsia" w:ascii="宋体" w:hAnsi="宋体" w:cs="宋体"/>
          <w:color w:val="auto"/>
          <w:sz w:val="30"/>
          <w:szCs w:val="30"/>
          <w:u w:val="single"/>
          <w:lang w:val="en-US" w:eastAsia="zh-CN"/>
        </w:rPr>
        <w:t xml:space="preserve"> </w:t>
      </w:r>
    </w:p>
    <w:p w14:paraId="4D7D1AD0">
      <w:pPr>
        <w:autoSpaceDE w:val="0"/>
        <w:autoSpaceDN w:val="0"/>
        <w:spacing w:line="360" w:lineRule="auto"/>
        <w:ind w:firstLine="600" w:firstLineChars="200"/>
        <w:rPr>
          <w:rFonts w:ascii="宋体" w:cs="Times New Roman"/>
          <w:color w:val="auto"/>
          <w:sz w:val="30"/>
          <w:szCs w:val="30"/>
          <w:u w:val="single"/>
        </w:rPr>
      </w:pPr>
      <w:r>
        <w:rPr>
          <w:rFonts w:hint="eastAsia" w:ascii="宋体" w:hAnsi="宋体" w:cs="宋体"/>
          <w:color w:val="auto"/>
          <w:sz w:val="30"/>
          <w:szCs w:val="30"/>
          <w:lang w:val="zh-CN"/>
        </w:rPr>
        <w:t>采购项目编号：</w:t>
      </w:r>
      <w:r>
        <w:rPr>
          <w:rFonts w:hint="eastAsia" w:ascii="宋体" w:hAnsi="宋体" w:cs="宋体"/>
          <w:color w:val="auto"/>
          <w:sz w:val="30"/>
          <w:szCs w:val="30"/>
          <w:u w:val="single"/>
          <w:lang w:val="zh-CN"/>
        </w:rPr>
        <w:t>上海容基询比(服务)2025-004</w:t>
      </w:r>
      <w:r>
        <w:rPr>
          <w:rFonts w:hint="eastAsia" w:ascii="宋体" w:hAnsi="宋体" w:cs="宋体"/>
          <w:color w:val="auto"/>
          <w:sz w:val="30"/>
          <w:szCs w:val="30"/>
          <w:u w:val="single"/>
          <w:lang w:val="en-US" w:eastAsia="zh-CN"/>
        </w:rPr>
        <w:t xml:space="preserve">     </w:t>
      </w:r>
      <w:r>
        <w:rPr>
          <w:rFonts w:hint="eastAsia" w:ascii="宋体" w:hAnsi="宋体" w:cs="宋体"/>
          <w:color w:val="auto"/>
          <w:sz w:val="30"/>
          <w:szCs w:val="30"/>
          <w:u w:val="single"/>
        </w:rPr>
        <w:t xml:space="preserve">  </w:t>
      </w:r>
      <w:r>
        <w:rPr>
          <w:rFonts w:hint="eastAsia" w:ascii="宋体" w:hAnsi="宋体" w:cs="宋体"/>
          <w:color w:val="auto"/>
          <w:sz w:val="30"/>
          <w:szCs w:val="30"/>
          <w:u w:val="single"/>
          <w:lang w:val="en-US" w:eastAsia="zh-CN"/>
        </w:rPr>
        <w:t xml:space="preserve"> </w:t>
      </w:r>
      <w:r>
        <w:rPr>
          <w:rFonts w:hint="eastAsia" w:ascii="宋体" w:hAnsi="宋体" w:cs="宋体"/>
          <w:color w:val="auto"/>
          <w:sz w:val="30"/>
          <w:szCs w:val="30"/>
          <w:u w:val="single"/>
        </w:rPr>
        <w:t xml:space="preserve"> </w:t>
      </w:r>
    </w:p>
    <w:p w14:paraId="29DDBF51">
      <w:pPr>
        <w:autoSpaceDE w:val="0"/>
        <w:autoSpaceDN w:val="0"/>
        <w:spacing w:line="360" w:lineRule="auto"/>
        <w:ind w:firstLine="600" w:firstLineChars="200"/>
        <w:rPr>
          <w:rFonts w:ascii="宋体" w:cs="Times New Roman"/>
          <w:color w:val="auto"/>
          <w:sz w:val="30"/>
          <w:szCs w:val="30"/>
        </w:rPr>
      </w:pPr>
      <w:r>
        <w:rPr>
          <w:rFonts w:hint="eastAsia" w:ascii="宋体" w:hAnsi="宋体" w:cs="宋体"/>
          <w:color w:val="auto"/>
          <w:sz w:val="30"/>
          <w:szCs w:val="30"/>
          <w:lang w:val="zh-CN"/>
        </w:rPr>
        <w:t>采购合同编号：</w:t>
      </w:r>
      <w:r>
        <w:rPr>
          <w:rFonts w:hint="eastAsia" w:ascii="宋体" w:hAnsi="宋体" w:cs="宋体"/>
          <w:color w:val="auto"/>
          <w:sz w:val="30"/>
          <w:szCs w:val="30"/>
          <w:u w:val="single"/>
          <w:lang w:eastAsia="zh-CN"/>
        </w:rPr>
        <w:t>上海容基询比(服务)2025-004</w:t>
      </w:r>
      <w:r>
        <w:rPr>
          <w:rFonts w:hint="eastAsia" w:ascii="宋体" w:hAnsi="宋体" w:cs="宋体"/>
          <w:color w:val="auto"/>
          <w:sz w:val="30"/>
          <w:szCs w:val="30"/>
          <w:u w:val="single"/>
        </w:rPr>
        <w:t xml:space="preserve">   </w:t>
      </w:r>
      <w:r>
        <w:rPr>
          <w:rFonts w:hint="eastAsia" w:ascii="宋体" w:hAnsi="宋体" w:cs="宋体"/>
          <w:color w:val="auto"/>
          <w:sz w:val="30"/>
          <w:szCs w:val="30"/>
          <w:u w:val="single"/>
          <w:lang w:val="en-US" w:eastAsia="zh-CN"/>
        </w:rPr>
        <w:t xml:space="preserve">    </w:t>
      </w:r>
      <w:r>
        <w:rPr>
          <w:rFonts w:hint="eastAsia" w:ascii="宋体" w:hAnsi="宋体" w:cs="宋体"/>
          <w:color w:val="auto"/>
          <w:sz w:val="30"/>
          <w:szCs w:val="30"/>
          <w:u w:val="single"/>
        </w:rPr>
        <w:t xml:space="preserve">  </w:t>
      </w:r>
    </w:p>
    <w:p w14:paraId="3C6C43AA">
      <w:pPr>
        <w:autoSpaceDE w:val="0"/>
        <w:autoSpaceDN w:val="0"/>
        <w:spacing w:line="360" w:lineRule="auto"/>
        <w:ind w:firstLine="600" w:firstLineChars="200"/>
        <w:rPr>
          <w:rFonts w:hint="eastAsia" w:ascii="宋体" w:cs="Times New Roman"/>
          <w:color w:val="auto"/>
          <w:sz w:val="30"/>
          <w:szCs w:val="30"/>
          <w:u w:val="single"/>
        </w:rPr>
      </w:pPr>
      <w:r>
        <w:rPr>
          <w:rFonts w:hint="eastAsia" w:ascii="宋体" w:hAnsi="宋体" w:cs="宋体"/>
          <w:color w:val="auto"/>
          <w:sz w:val="30"/>
          <w:szCs w:val="30"/>
          <w:lang w:val="zh-CN"/>
        </w:rPr>
        <w:t>合同金额（人民币）：</w:t>
      </w:r>
      <w:r>
        <w:rPr>
          <w:rFonts w:hint="eastAsia" w:ascii="宋体" w:cs="Times New Roman"/>
          <w:color w:val="auto"/>
          <w:sz w:val="30"/>
          <w:szCs w:val="30"/>
          <w:u w:val="single"/>
        </w:rPr>
        <w:t xml:space="preserve">                             </w:t>
      </w:r>
    </w:p>
    <w:p w14:paraId="7306FB44">
      <w:pPr>
        <w:autoSpaceDE w:val="0"/>
        <w:autoSpaceDN w:val="0"/>
        <w:spacing w:line="360" w:lineRule="auto"/>
        <w:ind w:firstLine="600" w:firstLineChars="200"/>
        <w:rPr>
          <w:rFonts w:ascii="宋体" w:hAnsi="宋体" w:cs="宋体"/>
          <w:color w:val="auto"/>
          <w:sz w:val="30"/>
          <w:szCs w:val="30"/>
          <w:lang w:val="zh-CN"/>
        </w:rPr>
      </w:pPr>
      <w:r>
        <w:rPr>
          <w:rFonts w:hint="eastAsia" w:ascii="宋体" w:cs="Times New Roman"/>
          <w:color w:val="auto"/>
          <w:sz w:val="30"/>
          <w:szCs w:val="30"/>
        </w:rPr>
        <w:t>采购单位（甲方）：</w:t>
      </w:r>
      <w:r>
        <w:rPr>
          <w:rFonts w:hint="eastAsia" w:ascii="宋体" w:cs="Times New Roman"/>
          <w:color w:val="auto"/>
          <w:sz w:val="30"/>
          <w:szCs w:val="30"/>
          <w:u w:val="single"/>
        </w:rPr>
        <w:t xml:space="preserve">                      </w:t>
      </w:r>
      <w:r>
        <w:rPr>
          <w:rFonts w:hint="eastAsia" w:ascii="宋体" w:hAnsi="宋体" w:cs="宋体"/>
          <w:color w:val="auto"/>
          <w:sz w:val="30"/>
          <w:szCs w:val="30"/>
          <w:u w:val="single"/>
          <w:lang w:val="zh-CN"/>
        </w:rPr>
        <w:t>（盖章）</w:t>
      </w:r>
      <w:r>
        <w:rPr>
          <w:rFonts w:hint="eastAsia" w:ascii="宋体" w:cs="Times New Roman"/>
          <w:color w:val="auto"/>
          <w:sz w:val="30"/>
          <w:szCs w:val="30"/>
          <w:u w:val="single"/>
        </w:rPr>
        <w:t xml:space="preserve"> </w:t>
      </w:r>
      <w:r>
        <w:rPr>
          <w:rFonts w:hint="eastAsia" w:ascii="宋体" w:hAnsi="宋体" w:cs="宋体"/>
          <w:color w:val="auto"/>
          <w:sz w:val="30"/>
          <w:szCs w:val="30"/>
          <w:lang w:val="zh-CN"/>
        </w:rPr>
        <w:t xml:space="preserve">      </w:t>
      </w:r>
    </w:p>
    <w:p w14:paraId="60FA7B7C">
      <w:pPr>
        <w:autoSpaceDE w:val="0"/>
        <w:autoSpaceDN w:val="0"/>
        <w:spacing w:line="360" w:lineRule="auto"/>
        <w:ind w:firstLine="600" w:firstLineChars="200"/>
        <w:rPr>
          <w:rFonts w:ascii="宋体" w:cs="Times New Roman"/>
          <w:color w:val="auto"/>
          <w:sz w:val="30"/>
          <w:szCs w:val="30"/>
          <w:u w:val="single"/>
        </w:rPr>
      </w:pPr>
      <w:r>
        <w:rPr>
          <w:rFonts w:hint="eastAsia" w:ascii="宋体" w:hAnsi="宋体" w:cs="宋体"/>
          <w:color w:val="auto"/>
          <w:sz w:val="30"/>
          <w:szCs w:val="30"/>
          <w:lang w:val="zh-CN"/>
        </w:rPr>
        <w:t>成交供应商（乙方）：</w:t>
      </w:r>
      <w:r>
        <w:rPr>
          <w:rFonts w:hint="eastAsia" w:ascii="宋体" w:hAnsi="宋体" w:cs="宋体"/>
          <w:color w:val="auto"/>
          <w:sz w:val="30"/>
          <w:szCs w:val="30"/>
          <w:u w:val="single"/>
          <w:lang w:val="zh-CN"/>
        </w:rPr>
        <w:t xml:space="preserve">                    （盖章）</w:t>
      </w:r>
      <w:r>
        <w:rPr>
          <w:rFonts w:hint="eastAsia" w:ascii="宋体" w:hAnsi="宋体" w:cs="宋体"/>
          <w:color w:val="auto"/>
          <w:sz w:val="30"/>
          <w:szCs w:val="30"/>
          <w:u w:val="single"/>
        </w:rPr>
        <w:t xml:space="preserve"> </w:t>
      </w:r>
    </w:p>
    <w:p w14:paraId="66B510AB">
      <w:pPr>
        <w:autoSpaceDE w:val="0"/>
        <w:autoSpaceDN w:val="0"/>
        <w:spacing w:line="360" w:lineRule="auto"/>
        <w:ind w:firstLine="600" w:firstLineChars="200"/>
        <w:rPr>
          <w:rFonts w:ascii="宋体" w:cs="Times New Roman"/>
          <w:color w:val="auto"/>
          <w:sz w:val="24"/>
          <w:szCs w:val="24"/>
        </w:rPr>
      </w:pPr>
      <w:r>
        <w:rPr>
          <w:rFonts w:hint="eastAsia" w:ascii="宋体" w:hAnsi="宋体" w:cs="宋体"/>
          <w:color w:val="auto"/>
          <w:sz w:val="30"/>
          <w:szCs w:val="30"/>
          <w:lang w:val="zh-CN"/>
        </w:rPr>
        <w:t>采购日期：</w:t>
      </w:r>
      <w:r>
        <w:rPr>
          <w:rFonts w:ascii="宋体" w:hAnsi="宋体" w:cs="宋体"/>
          <w:color w:val="auto"/>
          <w:sz w:val="30"/>
          <w:szCs w:val="30"/>
          <w:u w:val="single"/>
        </w:rPr>
        <w:t xml:space="preserve">  </w:t>
      </w:r>
      <w:r>
        <w:rPr>
          <w:rFonts w:hint="eastAsia" w:ascii="宋体" w:hAnsi="宋体" w:cs="宋体"/>
          <w:color w:val="auto"/>
          <w:sz w:val="30"/>
          <w:szCs w:val="30"/>
          <w:u w:val="single"/>
        </w:rPr>
        <w:t xml:space="preserve"> </w:t>
      </w:r>
      <w:r>
        <w:rPr>
          <w:rFonts w:ascii="宋体" w:hAnsi="宋体" w:cs="宋体"/>
          <w:color w:val="auto"/>
          <w:sz w:val="30"/>
          <w:szCs w:val="30"/>
          <w:u w:val="single"/>
        </w:rPr>
        <w:t xml:space="preserve"> </w:t>
      </w:r>
      <w:r>
        <w:rPr>
          <w:rFonts w:hint="eastAsia" w:ascii="宋体" w:hAnsi="宋体" w:cs="宋体"/>
          <w:color w:val="auto"/>
          <w:sz w:val="30"/>
          <w:szCs w:val="30"/>
          <w:u w:val="single"/>
        </w:rPr>
        <w:t xml:space="preserve">      </w:t>
      </w:r>
      <w:r>
        <w:rPr>
          <w:rFonts w:ascii="宋体" w:hAnsi="宋体" w:cs="宋体"/>
          <w:color w:val="auto"/>
          <w:sz w:val="30"/>
          <w:szCs w:val="30"/>
          <w:u w:val="single"/>
        </w:rPr>
        <w:t xml:space="preserve"> </w:t>
      </w:r>
      <w:r>
        <w:rPr>
          <w:rFonts w:hint="eastAsia" w:ascii="宋体" w:hAnsi="宋体" w:cs="宋体"/>
          <w:color w:val="auto"/>
          <w:sz w:val="30"/>
          <w:szCs w:val="30"/>
          <w:u w:val="single"/>
        </w:rPr>
        <w:t>年</w:t>
      </w:r>
      <w:r>
        <w:rPr>
          <w:rFonts w:ascii="宋体" w:hAnsi="宋体" w:cs="宋体"/>
          <w:color w:val="auto"/>
          <w:sz w:val="30"/>
          <w:szCs w:val="30"/>
          <w:u w:val="single"/>
        </w:rPr>
        <w:t xml:space="preserve">      </w:t>
      </w:r>
      <w:r>
        <w:rPr>
          <w:rFonts w:hint="eastAsia" w:ascii="宋体" w:hAnsi="宋体" w:cs="宋体"/>
          <w:color w:val="auto"/>
          <w:sz w:val="30"/>
          <w:szCs w:val="30"/>
          <w:u w:val="single"/>
        </w:rPr>
        <w:t>月</w:t>
      </w:r>
      <w:r>
        <w:rPr>
          <w:rFonts w:ascii="宋体" w:hAnsi="宋体" w:cs="宋体"/>
          <w:color w:val="auto"/>
          <w:sz w:val="30"/>
          <w:szCs w:val="30"/>
          <w:u w:val="single"/>
        </w:rPr>
        <w:t xml:space="preserve">      </w:t>
      </w:r>
      <w:r>
        <w:rPr>
          <w:rFonts w:hint="eastAsia" w:ascii="宋体" w:hAnsi="宋体" w:cs="宋体"/>
          <w:color w:val="auto"/>
          <w:sz w:val="30"/>
          <w:szCs w:val="30"/>
          <w:u w:val="single"/>
        </w:rPr>
        <w:t>日</w:t>
      </w:r>
      <w:r>
        <w:rPr>
          <w:rFonts w:ascii="宋体" w:hAnsi="宋体" w:cs="宋体"/>
          <w:color w:val="auto"/>
          <w:sz w:val="30"/>
          <w:szCs w:val="30"/>
          <w:u w:val="single"/>
        </w:rPr>
        <w:t xml:space="preserve"> </w:t>
      </w:r>
      <w:r>
        <w:rPr>
          <w:rFonts w:hint="eastAsia" w:ascii="宋体" w:hAnsi="宋体" w:cs="宋体"/>
          <w:color w:val="auto"/>
          <w:sz w:val="30"/>
          <w:szCs w:val="30"/>
          <w:u w:val="single"/>
        </w:rPr>
        <w:t xml:space="preserve">         </w:t>
      </w:r>
    </w:p>
    <w:p w14:paraId="7C643D07">
      <w:pPr>
        <w:pStyle w:val="13"/>
        <w:keepNext w:val="0"/>
        <w:keepLines w:val="0"/>
        <w:pageBreakBefore w:val="0"/>
        <w:kinsoku/>
        <w:wordWrap/>
        <w:overflowPunct/>
        <w:topLinePunct w:val="0"/>
        <w:bidi w:val="0"/>
        <w:spacing w:beforeAutospacing="0" w:afterAutospacing="0" w:line="360" w:lineRule="auto"/>
        <w:ind w:left="0" w:leftChars="0" w:firstLine="480" w:firstLineChars="200"/>
        <w:textAlignment w:val="auto"/>
        <w:rPr>
          <w:rFonts w:hint="eastAsia" w:ascii="宋体" w:hAnsi="宋体" w:eastAsia="宋体" w:cs="宋体"/>
          <w:color w:val="auto"/>
          <w:kern w:val="2"/>
          <w:sz w:val="24"/>
          <w:szCs w:val="24"/>
          <w:lang w:val="zh-CN"/>
        </w:rPr>
      </w:pPr>
    </w:p>
    <w:p w14:paraId="3AEC96E6">
      <w:pPr>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br w:type="page"/>
      </w:r>
    </w:p>
    <w:p w14:paraId="0E924741">
      <w:pPr>
        <w:pStyle w:val="13"/>
        <w:keepNext w:val="0"/>
        <w:keepLines w:val="0"/>
        <w:pageBreakBefore w:val="0"/>
        <w:kinsoku/>
        <w:wordWrap/>
        <w:overflowPunct/>
        <w:topLinePunct w:val="0"/>
        <w:bidi w:val="0"/>
        <w:spacing w:beforeAutospacing="0" w:afterAutospacing="0" w:line="360" w:lineRule="auto"/>
        <w:ind w:left="0" w:leftChars="0" w:firstLine="480" w:firstLineChars="200"/>
        <w:textAlignment w:val="auto"/>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采购单位（甲方）：</w:t>
      </w:r>
      <w:r>
        <w:rPr>
          <w:rFonts w:hint="eastAsia" w:cs="宋体"/>
          <w:color w:val="auto"/>
          <w:kern w:val="2"/>
          <w:sz w:val="24"/>
          <w:szCs w:val="24"/>
          <w:u w:val="single"/>
          <w:lang w:val="zh-CN"/>
        </w:rPr>
        <w:t>青海民族大学</w:t>
      </w:r>
    </w:p>
    <w:p w14:paraId="6152FC53">
      <w:pPr>
        <w:pStyle w:val="13"/>
        <w:keepNext w:val="0"/>
        <w:keepLines w:val="0"/>
        <w:pageBreakBefore w:val="0"/>
        <w:kinsoku/>
        <w:wordWrap/>
        <w:overflowPunct/>
        <w:topLinePunct w:val="0"/>
        <w:bidi w:val="0"/>
        <w:spacing w:beforeAutospacing="0" w:afterAutospacing="0" w:line="360" w:lineRule="auto"/>
        <w:ind w:left="0" w:leftChars="0" w:firstLine="480" w:firstLineChars="200"/>
        <w:textAlignment w:val="auto"/>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成交供应商（乙方）：</w:t>
      </w:r>
    </w:p>
    <w:p w14:paraId="735178BA">
      <w:pPr>
        <w:pStyle w:val="13"/>
        <w:keepNext w:val="0"/>
        <w:keepLines w:val="0"/>
        <w:pageBreakBefore w:val="0"/>
        <w:kinsoku/>
        <w:wordWrap/>
        <w:overflowPunct/>
        <w:topLinePunct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202</w:t>
      </w:r>
      <w:r>
        <w:rPr>
          <w:rFonts w:hint="eastAsia" w:cs="宋体"/>
          <w:color w:val="auto"/>
          <w:sz w:val="24"/>
          <w:szCs w:val="24"/>
          <w:lang w:val="en-US" w:eastAsia="zh-CN"/>
        </w:rPr>
        <w:t>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日</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lang w:val="zh-CN"/>
        </w:rPr>
        <w:t>项目</w:t>
      </w:r>
      <w:r>
        <w:rPr>
          <w:rFonts w:hint="eastAsia" w:ascii="宋体" w:hAnsi="宋体" w:eastAsia="宋体" w:cs="宋体"/>
          <w:color w:val="auto"/>
          <w:sz w:val="24"/>
          <w:szCs w:val="24"/>
          <w:u w:val="single"/>
          <w:lang w:val="zh-CN"/>
        </w:rPr>
        <w:t>（采购项目编号：</w:t>
      </w:r>
      <w:r>
        <w:rPr>
          <w:rFonts w:hint="eastAsia" w:cs="宋体"/>
          <w:color w:val="auto"/>
          <w:sz w:val="24"/>
          <w:szCs w:val="24"/>
          <w:u w:val="single"/>
          <w:lang w:val="zh-CN"/>
        </w:rPr>
        <w:t>上海容基询比(服务)2025-004</w:t>
      </w:r>
      <w:r>
        <w:rPr>
          <w:rFonts w:hint="eastAsia" w:ascii="宋体" w:hAnsi="宋体" w:eastAsia="宋体" w:cs="宋体"/>
          <w:color w:val="auto"/>
          <w:sz w:val="24"/>
          <w:szCs w:val="24"/>
          <w:u w:val="single"/>
          <w:lang w:val="zh-CN"/>
        </w:rPr>
        <w:t>）</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rPr>
        <w:t>询比</w:t>
      </w:r>
      <w:r>
        <w:rPr>
          <w:rFonts w:hint="eastAsia" w:ascii="宋体" w:hAnsi="宋体" w:eastAsia="宋体" w:cs="宋体"/>
          <w:color w:val="auto"/>
          <w:sz w:val="24"/>
          <w:szCs w:val="24"/>
          <w:lang w:val="zh-CN"/>
        </w:rPr>
        <w:t>文件要求和采购代理机构出具的《</w:t>
      </w:r>
      <w:r>
        <w:rPr>
          <w:rFonts w:hint="eastAsia" w:ascii="宋体" w:hAnsi="宋体" w:eastAsia="宋体" w:cs="宋体"/>
          <w:color w:val="auto"/>
          <w:sz w:val="24"/>
          <w:szCs w:val="24"/>
        </w:rPr>
        <w:t>成交</w:t>
      </w:r>
      <w:r>
        <w:rPr>
          <w:rFonts w:hint="eastAsia" w:ascii="宋体" w:hAnsi="宋体" w:eastAsia="宋体" w:cs="宋体"/>
          <w:color w:val="auto"/>
          <w:sz w:val="24"/>
          <w:szCs w:val="24"/>
          <w:lang w:val="zh-CN"/>
        </w:rPr>
        <w:t>通知书》，并经双方协商一致，签订本合同协议书。</w:t>
      </w:r>
    </w:p>
    <w:p w14:paraId="14C5B68C">
      <w:pPr>
        <w:keepNext w:val="0"/>
        <w:keepLines w:val="0"/>
        <w:pageBreakBefore w:val="0"/>
        <w:kinsoku/>
        <w:wordWrap/>
        <w:overflowPunct/>
        <w:topLinePunct w:val="0"/>
        <w:bidi w:val="0"/>
        <w:spacing w:beforeAutospacing="0" w:afterAutospacing="0" w:line="360" w:lineRule="auto"/>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一、签订本合同的依据</w:t>
      </w:r>
    </w:p>
    <w:p w14:paraId="5AFE44E4">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本合同所附下列文件是构成本合同不可分割的部分：</w:t>
      </w:r>
    </w:p>
    <w:p w14:paraId="550DDA46">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询比采购</w:t>
      </w:r>
      <w:r>
        <w:rPr>
          <w:rFonts w:hint="eastAsia" w:ascii="宋体" w:hAnsi="宋体" w:eastAsia="宋体" w:cs="宋体"/>
          <w:color w:val="auto"/>
          <w:sz w:val="24"/>
          <w:szCs w:val="24"/>
          <w:lang w:val="zh-CN"/>
        </w:rPr>
        <w:t>文件；</w:t>
      </w:r>
    </w:p>
    <w:p w14:paraId="747D6F60">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询比采购</w:t>
      </w:r>
      <w:r>
        <w:rPr>
          <w:rFonts w:hint="eastAsia" w:ascii="宋体" w:hAnsi="宋体" w:eastAsia="宋体" w:cs="宋体"/>
          <w:color w:val="auto"/>
          <w:sz w:val="24"/>
          <w:szCs w:val="24"/>
          <w:lang w:val="zh-CN"/>
        </w:rPr>
        <w:t>文件的更正、变更公告；</w:t>
      </w:r>
    </w:p>
    <w:p w14:paraId="0763F1A6">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3．成交人递交的响应文件；</w:t>
      </w:r>
    </w:p>
    <w:p w14:paraId="5786630E">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．成交通知书及服务承诺。</w:t>
      </w:r>
    </w:p>
    <w:p w14:paraId="4398BDF6">
      <w:pPr>
        <w:keepNext w:val="0"/>
        <w:keepLines w:val="0"/>
        <w:pageBreakBefore w:val="0"/>
        <w:kinsoku/>
        <w:wordWrap/>
        <w:overflowPunct/>
        <w:topLinePunct w:val="0"/>
        <w:bidi w:val="0"/>
        <w:spacing w:beforeAutospacing="0" w:afterAutospacing="0" w:line="360" w:lineRule="auto"/>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二、合同标的及金额 </w:t>
      </w:r>
    </w:p>
    <w:p w14:paraId="05451CCD">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lang w:val="zh-CN"/>
        </w:rPr>
        <w:t>服务内容：</w:t>
      </w: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w:t>
      </w:r>
    </w:p>
    <w:p w14:paraId="02F91730">
      <w:pPr>
        <w:keepNext w:val="0"/>
        <w:keepLines w:val="0"/>
        <w:pageBreakBefore w:val="0"/>
        <w:kinsoku/>
        <w:wordWrap/>
        <w:overflowPunct/>
        <w:topLinePunct w:val="0"/>
        <w:autoSpaceDE w:val="0"/>
        <w:autoSpaceDN w:val="0"/>
        <w:bidi w:val="0"/>
        <w:spacing w:beforeAutospacing="0" w:afterAutospacing="0" w:line="360" w:lineRule="auto"/>
        <w:ind w:left="0" w:leftChars="0" w:firstLine="1680" w:firstLineChars="7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2.                                             </w:t>
      </w:r>
    </w:p>
    <w:p w14:paraId="1C9ABFD9">
      <w:pPr>
        <w:keepNext w:val="0"/>
        <w:keepLines w:val="0"/>
        <w:pageBreakBefore w:val="0"/>
        <w:kinsoku/>
        <w:wordWrap/>
        <w:overflowPunct/>
        <w:topLinePunct w:val="0"/>
        <w:autoSpaceDE w:val="0"/>
        <w:autoSpaceDN w:val="0"/>
        <w:bidi w:val="0"/>
        <w:spacing w:beforeAutospacing="0" w:afterAutospacing="0" w:line="360" w:lineRule="auto"/>
        <w:ind w:left="0" w:leftChars="0" w:firstLine="1680" w:firstLineChars="700"/>
        <w:textAlignment w:val="auto"/>
        <w:rPr>
          <w:rFonts w:hint="eastAsia" w:ascii="宋体" w:hAnsi="宋体" w:eastAsia="宋体" w:cs="宋体"/>
          <w:color w:val="auto"/>
          <w:sz w:val="24"/>
          <w:szCs w:val="24"/>
          <w:u w:val="single"/>
        </w:rPr>
      </w:pP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rPr>
        <w:t xml:space="preserve">.                                             </w:t>
      </w:r>
    </w:p>
    <w:p w14:paraId="5AE88F3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Times New Roman" w:hAnsi="Times New Roman" w:eastAsia="宋体" w:cs="Times New Roman"/>
          <w:color w:val="auto"/>
          <w:kern w:val="0"/>
          <w:sz w:val="24"/>
          <w:lang w:val="en-US" w:eastAsia="zh-CN"/>
        </w:rPr>
        <w:t>结</w:t>
      </w:r>
      <w:r>
        <w:rPr>
          <w:rFonts w:ascii="Times New Roman" w:hAnsi="Times New Roman" w:eastAsia="宋体" w:cs="Times New Roman"/>
          <w:color w:val="auto"/>
          <w:kern w:val="0"/>
          <w:sz w:val="24"/>
          <w:lang w:val="zh-CN"/>
        </w:rPr>
        <w:t>算方式：</w:t>
      </w:r>
      <w:r>
        <w:rPr>
          <w:rFonts w:ascii="Times New Roman" w:hAnsi="Times New Roman" w:eastAsia="宋体" w:cs="Times New Roman"/>
          <w:color w:val="auto"/>
          <w:kern w:val="0"/>
          <w:sz w:val="24"/>
        </w:rPr>
        <w:t>实行月结方式进行结算，甲方在次月15日前（特殊情况除外），扣除上月实际发生的水、电、以及违约、违规处罚等费用以及应由乙方缴纳而甲方代缴的费用后，将上月收入剩余金额转付给乙方，乙方开具正规的税务发票。</w:t>
      </w:r>
    </w:p>
    <w:p w14:paraId="369CD7A2">
      <w:pPr>
        <w:keepNext w:val="0"/>
        <w:keepLines w:val="0"/>
        <w:pageBreakBefore w:val="0"/>
        <w:kinsoku/>
        <w:wordWrap/>
        <w:overflowPunct/>
        <w:topLinePunct w:val="0"/>
        <w:bidi w:val="0"/>
        <w:spacing w:beforeAutospacing="0" w:afterAutospacing="0" w:line="360" w:lineRule="auto"/>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val="zh-CN"/>
        </w:rPr>
        <w:t>、服务内容</w:t>
      </w:r>
    </w:p>
    <w:p w14:paraId="21A0B4A3">
      <w:pPr>
        <w:pStyle w:val="18"/>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w:t>
      </w:r>
      <w:r>
        <w:rPr>
          <w:rFonts w:ascii="Times New Roman" w:hAnsi="Times New Roman" w:eastAsia="宋体" w:cs="Times New Roman"/>
          <w:color w:val="auto"/>
          <w:kern w:val="0"/>
          <w:sz w:val="24"/>
          <w:szCs w:val="21"/>
        </w:rPr>
        <w:t>3年，合同一年一签</w:t>
      </w:r>
      <w:r>
        <w:rPr>
          <w:rFonts w:hint="eastAsia" w:ascii="宋体" w:hAnsi="宋体" w:eastAsia="宋体" w:cs="宋体"/>
          <w:color w:val="auto"/>
          <w:sz w:val="24"/>
          <w:szCs w:val="24"/>
        </w:rPr>
        <w:t>。</w:t>
      </w:r>
    </w:p>
    <w:p w14:paraId="3AC12A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Times New Roman" w:hAnsi="Times New Roman" w:eastAsia="宋体" w:cs="Times New Roman"/>
          <w:color w:val="auto"/>
          <w:kern w:val="0"/>
          <w:sz w:val="24"/>
          <w:szCs w:val="21"/>
        </w:rPr>
      </w:pPr>
      <w:r>
        <w:rPr>
          <w:rFonts w:hint="eastAsia" w:ascii="Times New Roman" w:hAnsi="Times New Roman" w:eastAsia="宋体" w:cs="Times New Roman"/>
          <w:color w:val="auto"/>
          <w:kern w:val="0"/>
          <w:sz w:val="24"/>
          <w:szCs w:val="21"/>
          <w:lang w:val="en-US" w:eastAsia="zh-CN"/>
        </w:rPr>
        <w:t>备注：</w:t>
      </w:r>
      <w:r>
        <w:rPr>
          <w:rFonts w:ascii="Times New Roman" w:hAnsi="Times New Roman" w:eastAsia="宋体" w:cs="Times New Roman"/>
          <w:color w:val="auto"/>
          <w:kern w:val="0"/>
          <w:sz w:val="24"/>
          <w:szCs w:val="21"/>
        </w:rPr>
        <w:t>承包期内，如果达不到甲方要求的服务标准或违法合同相关条款，甲方随时可以解除合同），承包合同期满后，经甲方综合考核优秀的可适当延长承包期，最多不超过2年。</w:t>
      </w:r>
    </w:p>
    <w:p w14:paraId="26E6C8E5">
      <w:pPr>
        <w:pStyle w:val="18"/>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服务地点∶</w:t>
      </w:r>
      <w:r>
        <w:rPr>
          <w:rFonts w:ascii="Times New Roman" w:hAnsi="Times New Roman" w:eastAsia="宋体" w:cs="Times New Roman"/>
          <w:color w:val="auto"/>
          <w:kern w:val="0"/>
          <w:sz w:val="24"/>
          <w:lang w:val="zh-CN"/>
        </w:rPr>
        <w:t>东序校区（西宁市城东区八一中路</w:t>
      </w:r>
      <w:r>
        <w:rPr>
          <w:rFonts w:ascii="Times New Roman" w:hAnsi="Times New Roman" w:eastAsia="宋体" w:cs="Times New Roman"/>
          <w:color w:val="auto"/>
          <w:kern w:val="0"/>
          <w:sz w:val="24"/>
        </w:rPr>
        <w:t>3号）</w:t>
      </w:r>
      <w:r>
        <w:rPr>
          <w:rFonts w:hint="eastAsia" w:ascii="宋体" w:hAnsi="宋体" w:eastAsia="宋体" w:cs="宋体"/>
          <w:color w:val="auto"/>
          <w:sz w:val="24"/>
          <w:szCs w:val="24"/>
        </w:rPr>
        <w:t xml:space="preserve">  </w:t>
      </w:r>
    </w:p>
    <w:p w14:paraId="23F54BA1">
      <w:pPr>
        <w:keepNext w:val="0"/>
        <w:keepLines w:val="0"/>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outlineLvl w:val="1"/>
        <w:rPr>
          <w:rFonts w:hint="default" w:ascii="宋体" w:hAnsi="宋体" w:eastAsia="宋体" w:cs="宋体"/>
          <w:b/>
          <w:color w:val="auto"/>
          <w:sz w:val="24"/>
          <w:szCs w:val="24"/>
          <w:lang w:val="en-US" w:eastAsia="zh-CN"/>
        </w:rPr>
      </w:pP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lang w:val="zh-CN"/>
        </w:rPr>
        <w:t>、</w:t>
      </w:r>
      <w:r>
        <w:rPr>
          <w:rFonts w:hint="eastAsia" w:ascii="宋体" w:hAnsi="宋体" w:cs="宋体"/>
          <w:b/>
          <w:color w:val="auto"/>
          <w:sz w:val="24"/>
          <w:szCs w:val="24"/>
          <w:lang w:val="en-US" w:eastAsia="zh-CN"/>
        </w:rPr>
        <w:t>违约责任</w:t>
      </w:r>
    </w:p>
    <w:p w14:paraId="35FAA85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1、甲方的责任与义务 </w:t>
      </w:r>
    </w:p>
    <w:p w14:paraId="1F3145E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1.1 甲方有权监督乙方服务工作的实施情况，有权要求乙方提高未达到的服务标准， </w:t>
      </w:r>
    </w:p>
    <w:p w14:paraId="228370C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提出合理化意见建议。 </w:t>
      </w:r>
    </w:p>
    <w:p w14:paraId="43D1603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1.2 甲方为乙方提供管理办公用房。 </w:t>
      </w:r>
    </w:p>
    <w:p w14:paraId="04B898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1.3 甲方应向乙方提供原服务人员详细资料、薪资情况及配发用具清单。 </w:t>
      </w:r>
    </w:p>
    <w:p w14:paraId="5EDC43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1.4 指导乙方做好服务工作，共同商议解决有关事项，有关纠纷，维护双方利益。 </w:t>
      </w:r>
    </w:p>
    <w:p w14:paraId="01B22E6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1.5 按合约甲方按期向乙方支付服务费，支付方式按采购合同第三条执行。 </w:t>
      </w:r>
    </w:p>
    <w:p w14:paraId="68769F9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1.6 甲方有权实施合同约定及法律、法规规定的其他事项。 </w:t>
      </w:r>
    </w:p>
    <w:p w14:paraId="6A2AA67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1.7 甲方有权对乙方相关的工作对乙方人员进行临时任务安排。 </w:t>
      </w:r>
    </w:p>
    <w:p w14:paraId="47F790D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2、乙方的权利和义务 </w:t>
      </w:r>
    </w:p>
    <w:p w14:paraId="58989F8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2.1 根据各项规章制度及合同和本协议的约定，享有自主管理的权利。 </w:t>
      </w:r>
    </w:p>
    <w:p w14:paraId="122EA5F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2.2 根据各项规章制度及合同和本协议的约定，制定相应的管理制度。 </w:t>
      </w:r>
    </w:p>
    <w:p w14:paraId="57C0271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2.3 乙方聘用人员需符合国家相关用工制度，上述人员在工作期间发生任何意外事故， </w:t>
      </w:r>
    </w:p>
    <w:p w14:paraId="1105510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责任由乙方承担。 </w:t>
      </w:r>
    </w:p>
    <w:p w14:paraId="218AD53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2.4 乙方享有服务人员的管理、招聘、薪资核定、岗位安置、调换等权利。 </w:t>
      </w:r>
    </w:p>
    <w:p w14:paraId="611013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2.5 乙方按采购合同自行采购服务所需的相关材料用具。 </w:t>
      </w:r>
    </w:p>
    <w:p w14:paraId="2C45E71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2.6.乙方有权实施合同约定及法律、法规规定的其他事项。 </w:t>
      </w:r>
    </w:p>
    <w:p w14:paraId="6D0303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2.7 乙方对所有职工及时购买工伤保险。 </w:t>
      </w:r>
    </w:p>
    <w:p w14:paraId="220EB5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2.8 乙方没有义务及责任提供合同及本协议之外的任何服务。</w:t>
      </w:r>
    </w:p>
    <w:p w14:paraId="27415D71">
      <w:pPr>
        <w:keepNext w:val="0"/>
        <w:keepLines w:val="0"/>
        <w:pageBreakBefore w:val="0"/>
        <w:kinsoku/>
        <w:wordWrap/>
        <w:overflowPunct/>
        <w:topLinePunct w:val="0"/>
        <w:autoSpaceDE w:val="0"/>
        <w:autoSpaceDN w:val="0"/>
        <w:bidi w:val="0"/>
        <w:spacing w:beforeAutospacing="0" w:afterAutospacing="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lang w:val="zh-CN"/>
        </w:rPr>
        <w:t>、不可抗力</w:t>
      </w:r>
    </w:p>
    <w:p w14:paraId="7469B68E">
      <w:pPr>
        <w:keepNext w:val="0"/>
        <w:keepLines w:val="0"/>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1．不可抗力使合同的某些内容有变更必要的，双方应通过协商在 15 天内达成进一步履行合同的协议，因不可抗力致使合同不能履行的，合同经协商后终止。</w:t>
      </w:r>
    </w:p>
    <w:p w14:paraId="13FA4ECC">
      <w:pPr>
        <w:keepNext w:val="0"/>
        <w:keepLines w:val="0"/>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2．除法律、法规规定的不可抗力情形外，双方约定出现 / 情况亦视为不可抗力。</w:t>
      </w:r>
    </w:p>
    <w:p w14:paraId="1147CE51">
      <w:pPr>
        <w:keepNext w:val="0"/>
        <w:keepLines w:val="0"/>
        <w:pageBreakBefore w:val="0"/>
        <w:kinsoku/>
        <w:wordWrap/>
        <w:overflowPunct/>
        <w:topLinePunct w:val="0"/>
        <w:autoSpaceDE w:val="0"/>
        <w:autoSpaceDN w:val="0"/>
        <w:bidi w:val="0"/>
        <w:spacing w:beforeAutospacing="0" w:afterAutospacing="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rPr>
        <w:t>、知识产权</w:t>
      </w:r>
    </w:p>
    <w:p w14:paraId="0BC1B66B">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乙方保证，所供产品免受第三方提出的侵犯其专利权、商标权或其它知识产权的起诉。如发生此类纠纷，由乙方承担一切责任；如因此给甲方造成损失的，乙方负责全额赔偿。</w:t>
      </w:r>
    </w:p>
    <w:p w14:paraId="63C5A96A">
      <w:pPr>
        <w:keepNext w:val="0"/>
        <w:keepLines w:val="0"/>
        <w:pageBreakBefore w:val="0"/>
        <w:kinsoku/>
        <w:wordWrap/>
        <w:overflowPunct/>
        <w:topLinePunct w:val="0"/>
        <w:autoSpaceDE w:val="0"/>
        <w:autoSpaceDN w:val="0"/>
        <w:bidi w:val="0"/>
        <w:spacing w:beforeAutospacing="0" w:afterAutospacing="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lang w:val="zh-CN"/>
        </w:rPr>
        <w:t>、合同争议解决</w:t>
      </w:r>
    </w:p>
    <w:p w14:paraId="000B17D4">
      <w:pPr>
        <w:keepNext w:val="0"/>
        <w:keepLines w:val="0"/>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1．因产品质量问题发生争议的，应共同委托具有相应资质的质量检测机构进行鉴定。产品符合标准的，鉴定费由甲方承担；产品不符合标准的，鉴定费由乙方承担。</w:t>
      </w:r>
    </w:p>
    <w:p w14:paraId="1E3FE855">
      <w:pPr>
        <w:keepNext w:val="0"/>
        <w:keepLines w:val="0"/>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2．因履行本合同引起的或与本合同有关的争议，甲乙双方应首先通过友好协商解决，如果协商不能解决，向甲方所在地人民法院提起诉讼。</w:t>
      </w:r>
    </w:p>
    <w:p w14:paraId="194CEC88">
      <w:pPr>
        <w:keepNext w:val="0"/>
        <w:keepLines w:val="0"/>
        <w:pageBreakBefore w:val="0"/>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3．诉讼期间，本合同无争议部分继续履行。</w:t>
      </w:r>
    </w:p>
    <w:p w14:paraId="2E891C9A">
      <w:pPr>
        <w:keepNext w:val="0"/>
        <w:keepLines w:val="0"/>
        <w:pageBreakBefore w:val="0"/>
        <w:kinsoku/>
        <w:wordWrap/>
        <w:overflowPunct/>
        <w:topLinePunct w:val="0"/>
        <w:bidi w:val="0"/>
        <w:adjustRightInd w:val="0"/>
        <w:snapToGrid w:val="0"/>
        <w:spacing w:beforeAutospacing="0" w:afterAutospacing="0" w:line="360" w:lineRule="auto"/>
        <w:ind w:left="0" w:leftChars="0" w:firstLine="482" w:firstLineChars="200"/>
        <w:textAlignment w:val="auto"/>
        <w:rPr>
          <w:rFonts w:hint="eastAsia" w:ascii="宋体" w:hAnsi="宋体" w:eastAsia="宋体" w:cs="宋体"/>
          <w:b/>
          <w:color w:val="auto"/>
          <w:sz w:val="24"/>
          <w:szCs w:val="24"/>
        </w:rPr>
      </w:pPr>
      <w:r>
        <w:rPr>
          <w:rFonts w:hint="eastAsia" w:ascii="宋体" w:hAnsi="宋体" w:cs="宋体"/>
          <w:b/>
          <w:bCs/>
          <w:color w:val="auto"/>
          <w:sz w:val="24"/>
          <w:szCs w:val="24"/>
          <w:lang w:val="en-US" w:eastAsia="zh-CN"/>
        </w:rPr>
        <w:t>八</w:t>
      </w:r>
      <w:r>
        <w:rPr>
          <w:rFonts w:hint="eastAsia" w:ascii="宋体" w:hAnsi="宋体" w:eastAsia="宋体" w:cs="宋体"/>
          <w:b/>
          <w:bCs/>
          <w:color w:val="auto"/>
          <w:sz w:val="24"/>
          <w:szCs w:val="24"/>
          <w:lang w:val="zh-CN"/>
        </w:rPr>
        <w:t>、</w:t>
      </w:r>
      <w:r>
        <w:rPr>
          <w:rFonts w:hint="eastAsia" w:ascii="宋体" w:hAnsi="宋体" w:eastAsia="宋体" w:cs="宋体"/>
          <w:b/>
          <w:color w:val="auto"/>
          <w:sz w:val="24"/>
          <w:szCs w:val="24"/>
        </w:rPr>
        <w:t>合同生效及其他</w:t>
      </w:r>
    </w:p>
    <w:p w14:paraId="1908E5E6">
      <w:pPr>
        <w:keepNext w:val="0"/>
        <w:keepLines w:val="0"/>
        <w:pageBreakBefore w:val="0"/>
        <w:numPr>
          <w:ilvl w:val="0"/>
          <w:numId w:val="6"/>
        </w:numPr>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本合同一式五份，经双方法定代表人或委托代理人签字并盖章后正式生效，委托代理人签署的，应提供载明委托范围及时间的授权委托书；甲方三份，乙方一份，采购代理机构一份，具有同等法律效力。</w:t>
      </w:r>
    </w:p>
    <w:p w14:paraId="4CDC0407">
      <w:pPr>
        <w:keepNext w:val="0"/>
        <w:keepLines w:val="0"/>
        <w:pageBreakBefore w:val="0"/>
        <w:numPr>
          <w:ilvl w:val="0"/>
          <w:numId w:val="6"/>
        </w:numPr>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未尽事宜，经甲、乙双方协商签订补充协议，具有与本合同同等的法律效力。</w:t>
      </w:r>
    </w:p>
    <w:p w14:paraId="1481FE53">
      <w:pPr>
        <w:keepNext w:val="0"/>
        <w:keepLines w:val="0"/>
        <w:pageBreakBefore w:val="0"/>
        <w:numPr>
          <w:ilvl w:val="0"/>
          <w:numId w:val="6"/>
        </w:numPr>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本合同的组成包含《合同通用条款》。</w:t>
      </w:r>
    </w:p>
    <w:p w14:paraId="055764E8">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lang w:val="zh-CN"/>
        </w:rPr>
      </w:pPr>
    </w:p>
    <w:tbl>
      <w:tblPr>
        <w:tblStyle w:val="20"/>
        <w:tblW w:w="0" w:type="auto"/>
        <w:tblInd w:w="2" w:type="dxa"/>
        <w:tblLayout w:type="fixed"/>
        <w:tblCellMar>
          <w:top w:w="0" w:type="dxa"/>
          <w:left w:w="108" w:type="dxa"/>
          <w:bottom w:w="0" w:type="dxa"/>
          <w:right w:w="108" w:type="dxa"/>
        </w:tblCellMar>
      </w:tblPr>
      <w:tblGrid>
        <w:gridCol w:w="4810"/>
        <w:gridCol w:w="4810"/>
      </w:tblGrid>
      <w:tr w14:paraId="0FBB22F3">
        <w:tblPrEx>
          <w:tblCellMar>
            <w:top w:w="0" w:type="dxa"/>
            <w:left w:w="108" w:type="dxa"/>
            <w:bottom w:w="0" w:type="dxa"/>
            <w:right w:w="108" w:type="dxa"/>
          </w:tblCellMar>
        </w:tblPrEx>
        <w:trPr>
          <w:trHeight w:val="795" w:hRule="atLeast"/>
        </w:trPr>
        <w:tc>
          <w:tcPr>
            <w:tcW w:w="4810" w:type="dxa"/>
            <w:noWrap/>
          </w:tcPr>
          <w:p w14:paraId="745CDC66">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甲方（盖章）：</w:t>
            </w:r>
          </w:p>
        </w:tc>
        <w:tc>
          <w:tcPr>
            <w:tcW w:w="4810" w:type="dxa"/>
            <w:noWrap/>
          </w:tcPr>
          <w:p w14:paraId="28608A2B">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乙方（盖章）：</w:t>
            </w:r>
          </w:p>
        </w:tc>
      </w:tr>
      <w:tr w14:paraId="6D95152D">
        <w:tblPrEx>
          <w:tblCellMar>
            <w:top w:w="0" w:type="dxa"/>
            <w:left w:w="108" w:type="dxa"/>
            <w:bottom w:w="0" w:type="dxa"/>
            <w:right w:w="108" w:type="dxa"/>
          </w:tblCellMar>
        </w:tblPrEx>
        <w:trPr>
          <w:trHeight w:val="795" w:hRule="atLeast"/>
        </w:trPr>
        <w:tc>
          <w:tcPr>
            <w:tcW w:w="4810" w:type="dxa"/>
            <w:noWrap/>
          </w:tcPr>
          <w:p w14:paraId="2008212E">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法定代表人或委托代理人（签字）：</w:t>
            </w:r>
          </w:p>
        </w:tc>
        <w:tc>
          <w:tcPr>
            <w:tcW w:w="4810" w:type="dxa"/>
            <w:noWrap/>
          </w:tcPr>
          <w:p w14:paraId="1F24FD55">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法定代表人或委托代理人（签字）：</w:t>
            </w:r>
          </w:p>
        </w:tc>
      </w:tr>
      <w:tr w14:paraId="713038DE">
        <w:tblPrEx>
          <w:tblCellMar>
            <w:top w:w="0" w:type="dxa"/>
            <w:left w:w="108" w:type="dxa"/>
            <w:bottom w:w="0" w:type="dxa"/>
            <w:right w:w="108" w:type="dxa"/>
          </w:tblCellMar>
        </w:tblPrEx>
        <w:trPr>
          <w:trHeight w:val="795" w:hRule="atLeast"/>
        </w:trPr>
        <w:tc>
          <w:tcPr>
            <w:tcW w:w="4810" w:type="dxa"/>
            <w:noWrap/>
          </w:tcPr>
          <w:p w14:paraId="7B2D3F0C">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4810" w:type="dxa"/>
            <w:noWrap/>
          </w:tcPr>
          <w:p w14:paraId="216F1660">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6CA85859">
        <w:tblPrEx>
          <w:tblCellMar>
            <w:top w:w="0" w:type="dxa"/>
            <w:left w:w="108" w:type="dxa"/>
            <w:bottom w:w="0" w:type="dxa"/>
            <w:right w:w="108" w:type="dxa"/>
          </w:tblCellMar>
        </w:tblPrEx>
        <w:trPr>
          <w:trHeight w:val="795" w:hRule="atLeast"/>
        </w:trPr>
        <w:tc>
          <w:tcPr>
            <w:tcW w:w="4810" w:type="dxa"/>
            <w:noWrap/>
          </w:tcPr>
          <w:p w14:paraId="335DC1FC">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p>
        </w:tc>
        <w:tc>
          <w:tcPr>
            <w:tcW w:w="4810" w:type="dxa"/>
            <w:noWrap/>
          </w:tcPr>
          <w:p w14:paraId="047C8D19">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14:paraId="1237DA47">
        <w:tblPrEx>
          <w:tblCellMar>
            <w:top w:w="0" w:type="dxa"/>
            <w:left w:w="108" w:type="dxa"/>
            <w:bottom w:w="0" w:type="dxa"/>
            <w:right w:w="108" w:type="dxa"/>
          </w:tblCellMar>
        </w:tblPrEx>
        <w:trPr>
          <w:trHeight w:val="795" w:hRule="atLeast"/>
        </w:trPr>
        <w:tc>
          <w:tcPr>
            <w:tcW w:w="4810" w:type="dxa"/>
            <w:noWrap/>
          </w:tcPr>
          <w:p w14:paraId="55E864B8">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p>
        </w:tc>
        <w:tc>
          <w:tcPr>
            <w:tcW w:w="4810" w:type="dxa"/>
            <w:noWrap/>
          </w:tcPr>
          <w:p w14:paraId="17D08053">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r>
    </w:tbl>
    <w:p w14:paraId="76104CF8">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p>
    <w:p w14:paraId="1FB13BBB">
      <w:pPr>
        <w:keepNext w:val="0"/>
        <w:keepLines w:val="0"/>
        <w:pageBreakBefore w:val="0"/>
        <w:kinsoku/>
        <w:wordWrap/>
        <w:overflowPunct/>
        <w:topLinePunct w:val="0"/>
        <w:autoSpaceDE w:val="0"/>
        <w:autoSpaceDN w:val="0"/>
        <w:bidi w:val="0"/>
        <w:spacing w:beforeAutospacing="0" w:afterAutospacing="0" w:line="360" w:lineRule="auto"/>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签约时间：          年      月       日</w:t>
      </w:r>
    </w:p>
    <w:p w14:paraId="783AEF2F">
      <w:pPr>
        <w:rPr>
          <w:color w:val="auto"/>
        </w:rPr>
      </w:pPr>
    </w:p>
    <w:p w14:paraId="2D61C69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0E8ABAD">
      <w:pPr>
        <w:pStyle w:val="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第五章  采购需求</w:t>
      </w:r>
      <w:bookmarkEnd w:id="212"/>
    </w:p>
    <w:p w14:paraId="477FCD1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bCs/>
          <w:color w:val="auto"/>
          <w:sz w:val="36"/>
          <w:szCs w:val="44"/>
          <w:lang w:val="en-US" w:eastAsia="zh-CN"/>
        </w:rPr>
      </w:pPr>
    </w:p>
    <w:p w14:paraId="36AFE17B">
      <w:pPr>
        <w:spacing w:before="240" w:after="60" w:line="680" w:lineRule="exact"/>
        <w:jc w:val="center"/>
        <w:outlineLvl w:val="0"/>
        <w:rPr>
          <w:rFonts w:ascii="Times New Roman" w:hAnsi="Times New Roman" w:eastAsia="方正小标宋简体" w:cs="Times New Roman"/>
          <w:color w:val="auto"/>
          <w:kern w:val="0"/>
          <w:sz w:val="32"/>
          <w:szCs w:val="32"/>
        </w:rPr>
      </w:pPr>
      <w:bookmarkStart w:id="213" w:name="_Toc45976263"/>
      <w:r>
        <w:rPr>
          <w:rFonts w:hint="eastAsia" w:ascii="Times New Roman" w:hAnsi="Times New Roman" w:eastAsia="方正小标宋简体" w:cs="Times New Roman"/>
          <w:color w:val="auto"/>
          <w:kern w:val="0"/>
          <w:sz w:val="32"/>
          <w:szCs w:val="32"/>
          <w:lang w:eastAsia="zh-CN"/>
        </w:rPr>
        <w:t>青海民族大学东序校区清香餐厅引入社会餐饮企业经营采购项目</w:t>
      </w:r>
      <w:r>
        <w:rPr>
          <w:rFonts w:ascii="Times New Roman" w:hAnsi="Times New Roman" w:eastAsia="方正小标宋简体" w:cs="Times New Roman"/>
          <w:bCs/>
          <w:color w:val="auto"/>
          <w:kern w:val="0"/>
          <w:sz w:val="32"/>
          <w:szCs w:val="32"/>
        </w:rPr>
        <w:t xml:space="preserve"> </w:t>
      </w:r>
      <w:bookmarkEnd w:id="213"/>
    </w:p>
    <w:p w14:paraId="5D757B4B">
      <w:pPr>
        <w:keepNext w:val="0"/>
        <w:keepLines w:val="0"/>
        <w:pageBreakBefore w:val="0"/>
        <w:kinsoku/>
        <w:wordWrap/>
        <w:topLinePunct w:val="0"/>
        <w:bidi w:val="0"/>
        <w:spacing w:line="360" w:lineRule="auto"/>
        <w:ind w:firstLine="482" w:firstLineChars="200"/>
        <w:jc w:val="left"/>
        <w:textAlignment w:val="auto"/>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一、项目内容</w:t>
      </w:r>
    </w:p>
    <w:p w14:paraId="0DF862EC">
      <w:pPr>
        <w:keepNext w:val="0"/>
        <w:keepLines w:val="0"/>
        <w:pageBreakBefore w:val="0"/>
        <w:kinsoku/>
        <w:wordWrap/>
        <w:topLinePunct w:val="0"/>
        <w:bidi w:val="0"/>
        <w:spacing w:line="360" w:lineRule="auto"/>
        <w:ind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青海民族大学学生餐厅引入1家社会餐饮企业经营，基本情况如下。</w:t>
      </w:r>
    </w:p>
    <w:tbl>
      <w:tblPr>
        <w:tblStyle w:val="21"/>
        <w:tblW w:w="10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3225"/>
        <w:gridCol w:w="1912"/>
        <w:gridCol w:w="1213"/>
        <w:gridCol w:w="2851"/>
      </w:tblGrid>
      <w:tr w14:paraId="292B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6" w:type="dxa"/>
            <w:tcBorders>
              <w:top w:val="single" w:color="auto" w:sz="4" w:space="0"/>
              <w:left w:val="single" w:color="auto" w:sz="4" w:space="0"/>
              <w:bottom w:val="single" w:color="auto" w:sz="4" w:space="0"/>
              <w:right w:val="single" w:color="auto" w:sz="4" w:space="0"/>
            </w:tcBorders>
          </w:tcPr>
          <w:p w14:paraId="45E3AF1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3225" w:type="dxa"/>
            <w:tcBorders>
              <w:top w:val="single" w:color="auto" w:sz="4" w:space="0"/>
              <w:left w:val="single" w:color="auto" w:sz="4" w:space="0"/>
              <w:bottom w:val="single" w:color="auto" w:sz="4" w:space="0"/>
              <w:right w:val="single" w:color="auto" w:sz="4" w:space="0"/>
            </w:tcBorders>
          </w:tcPr>
          <w:p w14:paraId="2BAFC1A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食堂名称</w:t>
            </w:r>
          </w:p>
        </w:tc>
        <w:tc>
          <w:tcPr>
            <w:tcW w:w="1912" w:type="dxa"/>
            <w:tcBorders>
              <w:top w:val="single" w:color="auto" w:sz="4" w:space="0"/>
              <w:left w:val="single" w:color="auto" w:sz="4" w:space="0"/>
              <w:bottom w:val="single" w:color="auto" w:sz="4" w:space="0"/>
              <w:right w:val="single" w:color="auto" w:sz="4" w:space="0"/>
            </w:tcBorders>
          </w:tcPr>
          <w:p w14:paraId="64ECBFC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面积</w:t>
            </w:r>
          </w:p>
        </w:tc>
        <w:tc>
          <w:tcPr>
            <w:tcW w:w="1213" w:type="dxa"/>
            <w:tcBorders>
              <w:top w:val="single" w:color="auto" w:sz="4" w:space="0"/>
              <w:left w:val="single" w:color="auto" w:sz="4" w:space="0"/>
              <w:bottom w:val="single" w:color="auto" w:sz="4" w:space="0"/>
              <w:right w:val="single" w:color="auto" w:sz="4" w:space="0"/>
            </w:tcBorders>
          </w:tcPr>
          <w:p w14:paraId="65E74D1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餐位</w:t>
            </w:r>
          </w:p>
        </w:tc>
        <w:tc>
          <w:tcPr>
            <w:tcW w:w="2851" w:type="dxa"/>
            <w:tcBorders>
              <w:top w:val="single" w:color="auto" w:sz="4" w:space="0"/>
              <w:left w:val="single" w:color="auto" w:sz="4" w:space="0"/>
              <w:bottom w:val="single" w:color="auto" w:sz="4" w:space="0"/>
              <w:right w:val="single" w:color="auto" w:sz="4" w:space="0"/>
            </w:tcBorders>
          </w:tcPr>
          <w:p w14:paraId="4A61725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供餐人数</w:t>
            </w:r>
          </w:p>
        </w:tc>
      </w:tr>
      <w:tr w14:paraId="24DB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76" w:type="dxa"/>
            <w:tcBorders>
              <w:top w:val="single" w:color="auto" w:sz="4" w:space="0"/>
              <w:left w:val="single" w:color="auto" w:sz="4" w:space="0"/>
              <w:bottom w:val="single" w:color="auto" w:sz="4" w:space="0"/>
              <w:right w:val="single" w:color="auto" w:sz="4" w:space="0"/>
            </w:tcBorders>
            <w:vAlign w:val="center"/>
          </w:tcPr>
          <w:p w14:paraId="0F06C02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25" w:type="dxa"/>
            <w:tcBorders>
              <w:top w:val="single" w:color="auto" w:sz="4" w:space="0"/>
              <w:left w:val="single" w:color="auto" w:sz="4" w:space="0"/>
              <w:bottom w:val="single" w:color="auto" w:sz="4" w:space="0"/>
              <w:right w:val="single" w:color="auto" w:sz="4" w:space="0"/>
            </w:tcBorders>
            <w:vAlign w:val="center"/>
          </w:tcPr>
          <w:p w14:paraId="33A790B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东序校区清香餐厅一楼食堂（清真）</w:t>
            </w:r>
          </w:p>
        </w:tc>
        <w:tc>
          <w:tcPr>
            <w:tcW w:w="1912" w:type="dxa"/>
            <w:tcBorders>
              <w:top w:val="single" w:color="auto" w:sz="4" w:space="0"/>
              <w:left w:val="single" w:color="auto" w:sz="4" w:space="0"/>
              <w:bottom w:val="single" w:color="auto" w:sz="4" w:space="0"/>
              <w:right w:val="single" w:color="auto" w:sz="4" w:space="0"/>
            </w:tcBorders>
            <w:vAlign w:val="center"/>
          </w:tcPr>
          <w:p w14:paraId="2E1ED69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1340.00</w:t>
            </w:r>
            <w:r>
              <w:rPr>
                <w:rFonts w:hint="eastAsia" w:ascii="宋体" w:hAnsi="宋体" w:eastAsia="宋体" w:cs="宋体"/>
                <w:color w:val="auto"/>
                <w:kern w:val="0"/>
                <w:sz w:val="24"/>
                <w:szCs w:val="24"/>
                <w:lang w:val="zh-CN"/>
              </w:rPr>
              <w:t>平方米</w:t>
            </w:r>
          </w:p>
        </w:tc>
        <w:tc>
          <w:tcPr>
            <w:tcW w:w="1213" w:type="dxa"/>
            <w:tcBorders>
              <w:top w:val="single" w:color="auto" w:sz="4" w:space="0"/>
              <w:left w:val="single" w:color="auto" w:sz="4" w:space="0"/>
              <w:bottom w:val="single" w:color="auto" w:sz="4" w:space="0"/>
              <w:right w:val="single" w:color="auto" w:sz="4" w:space="0"/>
            </w:tcBorders>
            <w:vAlign w:val="center"/>
          </w:tcPr>
          <w:p w14:paraId="5471D84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500位</w:t>
            </w:r>
          </w:p>
        </w:tc>
        <w:tc>
          <w:tcPr>
            <w:tcW w:w="2851" w:type="dxa"/>
            <w:tcBorders>
              <w:top w:val="single" w:color="auto" w:sz="4" w:space="0"/>
              <w:left w:val="single" w:color="auto" w:sz="4" w:space="0"/>
              <w:bottom w:val="single" w:color="auto" w:sz="4" w:space="0"/>
              <w:right w:val="single" w:color="auto" w:sz="4" w:space="0"/>
            </w:tcBorders>
            <w:vAlign w:val="center"/>
          </w:tcPr>
          <w:p w14:paraId="1099FB2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提供学生餐（早、中、晚三餐），校区人数5000人左右。</w:t>
            </w:r>
          </w:p>
        </w:tc>
      </w:tr>
    </w:tbl>
    <w:p w14:paraId="0D6687B9">
      <w:pPr>
        <w:keepNext w:val="0"/>
        <w:keepLines w:val="0"/>
        <w:pageBreakBefore w:val="0"/>
        <w:kinsoku/>
        <w:wordWrap/>
        <w:topLinePunct w:val="0"/>
        <w:bidi w:val="0"/>
        <w:spacing w:line="360" w:lineRule="auto"/>
        <w:ind w:firstLine="482"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t>二、商务要求</w:t>
      </w:r>
    </w:p>
    <w:p w14:paraId="1D9C39E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lang w:val="zh-CN"/>
        </w:rPr>
        <w:t>1.符合《高等学校引入社会餐饮企业承办学生食堂管理规范》团体标准及采购文件规定的其他资格条件。</w:t>
      </w:r>
    </w:p>
    <w:p w14:paraId="032B02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lang w:val="zh-CN"/>
        </w:rPr>
        <w:t>2.近5年内无食品安全责任事故声明（含媒体曝光）。</w:t>
      </w:r>
    </w:p>
    <w:p w14:paraId="23FA3BE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lang w:val="zh-CN"/>
        </w:rPr>
        <w:t>3.成交供应商在成交之后，30天内办理完成该项目本地区的《食品经营许可证》和《清真食品准营证》。</w:t>
      </w:r>
    </w:p>
    <w:p w14:paraId="365C9FD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lang w:val="zh-CN"/>
        </w:rPr>
        <w:t>4.具有市场监督管理部门评定的卫生B级以上等级。</w:t>
      </w:r>
    </w:p>
    <w:p w14:paraId="0B81281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lang w:val="zh-CN" w:eastAsia="zh-CN"/>
        </w:rPr>
        <w:t>5.企业管理团队必须具有2名专科及以上学历的负责人（含1名取得食品安全总监证书的专职人员）、管理团队必须具有清真饮食习惯的人员，符合《青海省清真食品生产经营管理条例》的相关规定。</w:t>
      </w:r>
    </w:p>
    <w:p w14:paraId="0574F1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lang w:val="zh-CN" w:eastAsia="zh-CN"/>
        </w:rPr>
        <w:t>6.企业团队必须配备具有3名及以上二级厨师证的技术人员（其中，至少具有1名一级厨师证人员）。</w:t>
      </w:r>
    </w:p>
    <w:p w14:paraId="697F8F2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lang w:val="zh-CN" w:eastAsia="zh-CN"/>
        </w:rPr>
        <w:t>7.承办（服务）期</w:t>
      </w:r>
      <w:r>
        <w:rPr>
          <w:rFonts w:hint="eastAsia" w:asciiTheme="minorEastAsia" w:hAnsiTheme="minorEastAsia" w:eastAsiaTheme="minorEastAsia" w:cstheme="minorEastAsia"/>
          <w:color w:val="auto"/>
          <w:kern w:val="0"/>
          <w:sz w:val="24"/>
          <w:szCs w:val="24"/>
          <w:lang w:val="en-US" w:eastAsia="zh-CN"/>
        </w:rPr>
        <w:t>3年，合同一年一签，承包期内，如果达不到甲方要求的服务标准或违法合同相关条款，甲方随时可以解除合同），承包合同期满后，经甲方综合考核优秀的可适当延长承包期，最多不超过2年。</w:t>
      </w:r>
    </w:p>
    <w:p w14:paraId="2739CA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w:t>
      </w:r>
      <w:r>
        <w:rPr>
          <w:rFonts w:hint="eastAsia" w:asciiTheme="minorEastAsia" w:hAnsiTheme="minorEastAsia" w:eastAsiaTheme="minorEastAsia" w:cstheme="minorEastAsia"/>
          <w:color w:val="auto"/>
          <w:kern w:val="0"/>
          <w:sz w:val="24"/>
          <w:szCs w:val="24"/>
          <w:lang w:val="zh-CN" w:eastAsia="zh-CN"/>
        </w:rPr>
        <w:t>.承办（服务）地点：东序校区（西宁市城东区八一中路</w:t>
      </w:r>
      <w:r>
        <w:rPr>
          <w:rFonts w:hint="eastAsia" w:asciiTheme="minorEastAsia" w:hAnsiTheme="minorEastAsia" w:eastAsiaTheme="minorEastAsia" w:cstheme="minorEastAsia"/>
          <w:color w:val="auto"/>
          <w:kern w:val="0"/>
          <w:sz w:val="24"/>
          <w:szCs w:val="24"/>
          <w:lang w:val="en-US" w:eastAsia="zh-CN"/>
        </w:rPr>
        <w:t>3号）</w:t>
      </w:r>
      <w:r>
        <w:rPr>
          <w:rFonts w:hint="eastAsia" w:asciiTheme="minorEastAsia" w:hAnsiTheme="minorEastAsia" w:eastAsiaTheme="minorEastAsia" w:cstheme="minorEastAsia"/>
          <w:color w:val="auto"/>
          <w:kern w:val="0"/>
          <w:sz w:val="24"/>
          <w:szCs w:val="24"/>
          <w:lang w:val="zh-CN" w:eastAsia="zh-CN"/>
        </w:rPr>
        <w:t>。</w:t>
      </w:r>
    </w:p>
    <w:p w14:paraId="0F4F557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★9.风险抵押金</w:t>
      </w:r>
      <w:r>
        <w:rPr>
          <w:rFonts w:hint="eastAsia" w:asciiTheme="minorEastAsia" w:hAnsiTheme="minorEastAsia" w:eastAsiaTheme="minorEastAsia" w:cstheme="minorEastAsia"/>
          <w:color w:val="auto"/>
          <w:kern w:val="0"/>
          <w:sz w:val="24"/>
          <w:szCs w:val="24"/>
          <w:lang w:val="zh-CN"/>
        </w:rPr>
        <w:t>要求：</w:t>
      </w:r>
      <w:r>
        <w:rPr>
          <w:rFonts w:hint="eastAsia" w:asciiTheme="minorEastAsia" w:hAnsiTheme="minorEastAsia" w:eastAsiaTheme="minorEastAsia" w:cstheme="minorEastAsia"/>
          <w:color w:val="auto"/>
          <w:kern w:val="0"/>
          <w:sz w:val="24"/>
          <w:szCs w:val="24"/>
        </w:rPr>
        <w:t>本合同签订前乙方向甲方一次性交付风险抵押金</w:t>
      </w:r>
      <w:r>
        <w:rPr>
          <w:rFonts w:hint="eastAsia" w:asciiTheme="minorEastAsia" w:hAnsiTheme="minorEastAsia" w:eastAsiaTheme="minorEastAsia" w:cstheme="minorEastAsia"/>
          <w:b/>
          <w:bCs/>
          <w:color w:val="auto"/>
          <w:kern w:val="0"/>
          <w:sz w:val="24"/>
          <w:szCs w:val="24"/>
          <w:u w:val="single"/>
        </w:rPr>
        <w:t>¥ 300，000元，叁拾万元整</w:t>
      </w:r>
      <w:r>
        <w:rPr>
          <w:rFonts w:hint="eastAsia" w:asciiTheme="minorEastAsia" w:hAnsiTheme="minorEastAsia" w:eastAsiaTheme="minorEastAsia" w:cstheme="minorEastAsia"/>
          <w:b/>
          <w:bCs/>
          <w:color w:val="auto"/>
          <w:kern w:val="0"/>
          <w:sz w:val="24"/>
          <w:szCs w:val="24"/>
        </w:rPr>
        <w:t>。</w:t>
      </w:r>
    </w:p>
    <w:p w14:paraId="10F5A1B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10.结算方式：实行月结方式进行结算，甲方在次月15日前（特殊情况除外），扣除上月实际发生的水、电、以及违约、违规处罚等费用以及应由乙方缴纳而甲方代缴的费用后，将上月收入剩余金额转付给乙方，乙方开具正规的税务发票。</w:t>
      </w:r>
      <w:bookmarkStart w:id="214" w:name="_Toc511291987"/>
      <w:bookmarkStart w:id="215" w:name="_Toc476125059"/>
      <w:bookmarkStart w:id="216" w:name="_Toc45976268"/>
    </w:p>
    <w:p w14:paraId="4427057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bidi="ar"/>
        </w:rPr>
        <w:t>★</w:t>
      </w:r>
      <w:r>
        <w:rPr>
          <w:rFonts w:hint="eastAsia" w:asciiTheme="minorEastAsia" w:hAnsiTheme="minorEastAsia" w:eastAsiaTheme="minorEastAsia" w:cstheme="minorEastAsia"/>
          <w:color w:val="auto"/>
          <w:kern w:val="0"/>
          <w:sz w:val="24"/>
          <w:szCs w:val="24"/>
          <w:lang w:val="en-US" w:eastAsia="zh-CN"/>
        </w:rPr>
        <w:t>11.投标企业须具有三年以上高等学校餐饮服务经历，或五年以上社会团体餐饮服务经历。（须提供相关证明资料（如签订的合同））</w:t>
      </w:r>
    </w:p>
    <w:p w14:paraId="660A034C">
      <w:pPr>
        <w:keepNext w:val="0"/>
        <w:keepLines w:val="0"/>
        <w:pageBreakBefore w:val="0"/>
        <w:kinsoku/>
        <w:wordWrap/>
        <w:topLinePunct w:val="0"/>
        <w:autoSpaceDE w:val="0"/>
        <w:autoSpaceDN w:val="0"/>
        <w:bidi w:val="0"/>
        <w:adjustRightInd w:val="0"/>
        <w:spacing w:line="360" w:lineRule="auto"/>
        <w:ind w:firstLine="482" w:firstLineChars="200"/>
        <w:jc w:val="left"/>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lang w:val="zh-CN"/>
        </w:rPr>
        <w:t>三、服务内容</w:t>
      </w:r>
      <w:bookmarkEnd w:id="214"/>
      <w:bookmarkEnd w:id="215"/>
      <w:r>
        <w:rPr>
          <w:rFonts w:hint="eastAsia" w:asciiTheme="minorEastAsia" w:hAnsiTheme="minorEastAsia" w:eastAsiaTheme="minorEastAsia" w:cstheme="minorEastAsia"/>
          <w:b/>
          <w:color w:val="auto"/>
          <w:kern w:val="0"/>
          <w:sz w:val="24"/>
          <w:szCs w:val="24"/>
          <w:lang w:val="zh-CN"/>
        </w:rPr>
        <w:t>及要求</w:t>
      </w:r>
      <w:bookmarkEnd w:id="216"/>
    </w:p>
    <w:p w14:paraId="6286B8AA">
      <w:pPr>
        <w:keepNext w:val="0"/>
        <w:keepLines w:val="0"/>
        <w:pageBreakBefore w:val="0"/>
        <w:widowControl/>
        <w:kinsoku/>
        <w:wordWrap/>
        <w:topLinePunct w:val="0"/>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（一）服务内容：</w:t>
      </w:r>
    </w:p>
    <w:p w14:paraId="5D85B360">
      <w:pPr>
        <w:keepNext w:val="0"/>
        <w:keepLines w:val="0"/>
        <w:pageBreakBefore w:val="0"/>
        <w:widowControl/>
        <w:kinsoku/>
        <w:wordWrap/>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1.为学校学生提供餐饮服务保障（早、中、晚三餐），以及各类送餐、配餐等。</w:t>
      </w:r>
    </w:p>
    <w:p w14:paraId="5ABC8478">
      <w:pPr>
        <w:keepNext w:val="0"/>
        <w:keepLines w:val="0"/>
        <w:pageBreakBefore w:val="0"/>
        <w:widowControl/>
        <w:kinsoku/>
        <w:wordWrap/>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2.按学校规定的标准提供早餐、快餐、风味小吃、面食等，还应打造多元化餐饮服务，满足师生舌尖上的需求。</w:t>
      </w:r>
    </w:p>
    <w:p w14:paraId="46E4871B">
      <w:pPr>
        <w:keepNext w:val="0"/>
        <w:keepLines w:val="0"/>
        <w:pageBreakBefore w:val="0"/>
        <w:widowControl/>
        <w:kinsoku/>
        <w:wordWrap/>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3.以社会餐饮模式经营，发扬和传承中国传统饮食文化；除保障以上正常的供餐外，可以向广大师生提供特色美食。</w:t>
      </w:r>
    </w:p>
    <w:p w14:paraId="5BDAC909">
      <w:pPr>
        <w:keepNext w:val="0"/>
        <w:keepLines w:val="0"/>
        <w:pageBreakBefore w:val="0"/>
        <w:widowControl/>
        <w:kinsoku/>
        <w:wordWrap/>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4.服从学校监督管理，遵守学校制度，积极配合市场监督部门、教育部门、疾控部门等的检查指导。</w:t>
      </w:r>
    </w:p>
    <w:p w14:paraId="5D459461">
      <w:pPr>
        <w:keepNext w:val="0"/>
        <w:keepLines w:val="0"/>
        <w:pageBreakBefore w:val="0"/>
        <w:kinsoku/>
        <w:wordWrap/>
        <w:topLinePunct w:val="0"/>
        <w:bidi w:val="0"/>
        <w:spacing w:line="360" w:lineRule="auto"/>
        <w:ind w:firstLine="482" w:firstLineChars="200"/>
        <w:jc w:val="left"/>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（二）执行标准:</w:t>
      </w:r>
    </w:p>
    <w:p w14:paraId="618F6FDA">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1．执行《中华人民共和国食品安全法》（2015年10月1日）</w:t>
      </w:r>
    </w:p>
    <w:p w14:paraId="5D7B98D8">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 执行《中华人民共和国消防法》（2019年4月23日）</w:t>
      </w:r>
    </w:p>
    <w:p w14:paraId="4B64B486">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 执行《中华人民共和国劳动合同法》（2013年7月1日）</w:t>
      </w:r>
    </w:p>
    <w:p w14:paraId="678ADB2C">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4．执行教育部《普通高等学校食堂安全工作指南》（2017年1月4日）</w:t>
      </w:r>
    </w:p>
    <w:p w14:paraId="7AD79D4E">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 执行《餐饮业和集体用餐配送单位卫生规范》（2005年6月27日）</w:t>
      </w:r>
    </w:p>
    <w:p w14:paraId="2F198FC7">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6. 执行《学校食品安全与健康管理规定》（2019年4月1日）</w:t>
      </w:r>
    </w:p>
    <w:p w14:paraId="44B46E44">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7. 执行《餐饮服务食品安全操作规范》（2018年10月1日）</w:t>
      </w:r>
    </w:p>
    <w:p w14:paraId="00FF1FAB">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8. 执行《青海民族大学学生食堂监督管理办法》</w:t>
      </w:r>
    </w:p>
    <w:p w14:paraId="49D0ECB1">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Cs/>
          <w:color w:val="auto"/>
          <w:kern w:val="0"/>
          <w:sz w:val="24"/>
          <w:szCs w:val="24"/>
        </w:rPr>
        <w:t>9. 国家其他相关的法律法规及校方有关规章制度和规定。</w:t>
      </w:r>
    </w:p>
    <w:p w14:paraId="00CB4EFF">
      <w:pPr>
        <w:keepNext w:val="0"/>
        <w:keepLines w:val="0"/>
        <w:pageBreakBefore w:val="0"/>
        <w:kinsoku/>
        <w:wordWrap/>
        <w:topLinePunct w:val="0"/>
        <w:bidi w:val="0"/>
        <w:spacing w:line="360" w:lineRule="auto"/>
        <w:ind w:firstLine="482" w:firstLineChars="200"/>
        <w:jc w:val="left"/>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（三）承办（服务）要求</w:t>
      </w:r>
    </w:p>
    <w:p w14:paraId="1AF1DB82">
      <w:pPr>
        <w:keepNext w:val="0"/>
        <w:keepLines w:val="0"/>
        <w:pageBreakBefore w:val="0"/>
        <w:kinsoku/>
        <w:wordWrap/>
        <w:topLinePunct w:val="0"/>
        <w:bidi w:val="0"/>
        <w:spacing w:line="360" w:lineRule="auto"/>
        <w:ind w:firstLine="482" w:firstLineChars="200"/>
        <w:jc w:val="left"/>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（1）餐厅经营要求</w:t>
      </w:r>
    </w:p>
    <w:p w14:paraId="6AD55CFE">
      <w:pPr>
        <w:keepNext w:val="0"/>
        <w:keepLines w:val="0"/>
        <w:pageBreakBefore w:val="0"/>
        <w:widowControl/>
        <w:kinsoku/>
        <w:wordWrap/>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1.本项目以学生餐为主，加工制作菜肴必须符合国家健康饮食规定，满足师生就餐需求。</w:t>
      </w:r>
    </w:p>
    <w:p w14:paraId="6CA2519C">
      <w:pPr>
        <w:keepNext w:val="0"/>
        <w:keepLines w:val="0"/>
        <w:pageBreakBefore w:val="0"/>
        <w:widowControl/>
        <w:kinsoku/>
        <w:wordWrap/>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eastAsiaTheme="minorEastAsia" w:cstheme="minorEastAsia"/>
          <w:color w:val="auto"/>
          <w:kern w:val="0"/>
          <w:sz w:val="24"/>
          <w:szCs w:val="24"/>
          <w:lang w:val="zh-CN"/>
        </w:rPr>
        <w:t xml:space="preserve"> 根据《高等学校引入社会餐饮企业承办学生食堂管理规范》团体标准T/JYHQ0002-2019规定，</w:t>
      </w:r>
      <w:r>
        <w:rPr>
          <w:rFonts w:hint="eastAsia" w:asciiTheme="minorEastAsia" w:hAnsiTheme="minorEastAsia" w:eastAsiaTheme="minorEastAsia" w:cstheme="minorEastAsia"/>
          <w:color w:val="auto"/>
          <w:kern w:val="0"/>
          <w:sz w:val="24"/>
          <w:szCs w:val="24"/>
        </w:rPr>
        <w:t>投标企业具有三年以上高等学校餐饮服务经历，或五年以上社会团体餐饮服务经历。</w:t>
      </w:r>
    </w:p>
    <w:p w14:paraId="788BAB56">
      <w:pPr>
        <w:keepNext w:val="0"/>
        <w:keepLines w:val="0"/>
        <w:pageBreakBefore w:val="0"/>
        <w:widowControl/>
        <w:kinsoku/>
        <w:wordWrap/>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3.根据《青海民族大学食堂监督管理办法》，引进公司一个月内违反合同内容达到3次，严格按照青海民族大学退出机制执行。</w:t>
      </w:r>
    </w:p>
    <w:p w14:paraId="6F33E0C4">
      <w:pPr>
        <w:keepNext w:val="0"/>
        <w:keepLines w:val="0"/>
        <w:pageBreakBefore w:val="0"/>
        <w:widowControl/>
        <w:kinsoku/>
        <w:wordWrap/>
        <w:topLinePunct w:val="0"/>
        <w:bidi w:val="0"/>
        <w:snapToGri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rPr>
        <w:t>（2）</w:t>
      </w:r>
      <w:r>
        <w:rPr>
          <w:rFonts w:hint="eastAsia" w:asciiTheme="minorEastAsia" w:hAnsiTheme="minorEastAsia" w:eastAsiaTheme="minorEastAsia" w:cstheme="minorEastAsia"/>
          <w:b/>
          <w:bCs/>
          <w:color w:val="auto"/>
          <w:sz w:val="24"/>
          <w:szCs w:val="24"/>
        </w:rPr>
        <w:t>氛围营造要求（装修不做强行要求）</w:t>
      </w:r>
    </w:p>
    <w:p w14:paraId="47B6C25C">
      <w:pPr>
        <w:keepNext w:val="0"/>
        <w:keepLines w:val="0"/>
        <w:pageBreakBefore w:val="0"/>
        <w:widowControl/>
        <w:kinsoku/>
        <w:wordWrap/>
        <w:topLinePunct w:val="0"/>
        <w:bidi w:val="0"/>
        <w:snapToGrid w:val="0"/>
        <w:spacing w:line="360" w:lineRule="auto"/>
        <w:ind w:firstLine="482" w:firstLineChars="200"/>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总要求：</w:t>
      </w:r>
    </w:p>
    <w:p w14:paraId="118B146A">
      <w:pPr>
        <w:keepNext w:val="0"/>
        <w:keepLines w:val="0"/>
        <w:pageBreakBefore w:val="0"/>
        <w:widowControl/>
        <w:kinsoku/>
        <w:wordWrap/>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bCs/>
          <w:color w:val="auto"/>
          <w:kern w:val="24"/>
          <w:sz w:val="24"/>
          <w:szCs w:val="24"/>
        </w:rPr>
      </w:pPr>
      <w:r>
        <w:rPr>
          <w:rFonts w:hint="eastAsia" w:asciiTheme="minorEastAsia" w:hAnsiTheme="minorEastAsia" w:eastAsiaTheme="minorEastAsia" w:cstheme="minorEastAsia"/>
          <w:bCs/>
          <w:color w:val="auto"/>
          <w:kern w:val="0"/>
          <w:sz w:val="24"/>
          <w:szCs w:val="24"/>
        </w:rPr>
        <w:t>1.</w:t>
      </w:r>
      <w:r>
        <w:rPr>
          <w:rFonts w:hint="eastAsia" w:asciiTheme="minorEastAsia" w:hAnsiTheme="minorEastAsia" w:eastAsiaTheme="minorEastAsia" w:cstheme="minorEastAsia"/>
          <w:color w:val="auto"/>
          <w:sz w:val="24"/>
          <w:szCs w:val="24"/>
          <w:shd w:val="clear" w:color="auto" w:fill="FFFFFF"/>
        </w:rPr>
        <w:t>在餐厅氛围营造设计方面，既要考虑环境的优美舒适，也要考虑结合本省及学校的特色、文化内涵及历史底蕴，营造出充满人文情怀、舒适温馨的就餐环境。同时要考虑师生的就餐、生活、学习及工作需要。</w:t>
      </w:r>
    </w:p>
    <w:p w14:paraId="31226F84">
      <w:pPr>
        <w:keepNext w:val="0"/>
        <w:keepLines w:val="0"/>
        <w:pageBreakBefore w:val="0"/>
        <w:widowControl/>
        <w:kinsoku/>
        <w:wordWrap/>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bCs/>
          <w:color w:val="auto"/>
          <w:kern w:val="24"/>
          <w:sz w:val="24"/>
          <w:szCs w:val="24"/>
        </w:rPr>
      </w:pPr>
      <w:r>
        <w:rPr>
          <w:rFonts w:hint="eastAsia" w:asciiTheme="minorEastAsia" w:hAnsiTheme="minorEastAsia" w:eastAsiaTheme="minorEastAsia" w:cstheme="minorEastAsia"/>
          <w:bCs/>
          <w:color w:val="auto"/>
          <w:kern w:val="24"/>
          <w:sz w:val="24"/>
          <w:szCs w:val="24"/>
        </w:rPr>
        <w:t>2.所有氛围营造都不得违反《中华人民共和国食品安全法》、《消防安全法》和青海省、市场监督管理局关于合理的设备布局和工艺流程的要求。</w:t>
      </w:r>
    </w:p>
    <w:p w14:paraId="4164E733">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bCs/>
          <w:color w:val="auto"/>
          <w:kern w:val="24"/>
          <w:sz w:val="24"/>
          <w:szCs w:val="24"/>
        </w:rPr>
      </w:pPr>
      <w:r>
        <w:rPr>
          <w:rFonts w:hint="eastAsia" w:asciiTheme="minorEastAsia" w:hAnsiTheme="minorEastAsia" w:eastAsiaTheme="minorEastAsia" w:cstheme="minorEastAsia"/>
          <w:bCs/>
          <w:color w:val="auto"/>
          <w:kern w:val="0"/>
          <w:sz w:val="24"/>
          <w:szCs w:val="24"/>
        </w:rPr>
        <w:t>3.后厨炊灶具（除校方提供的设施设备外）均由成交企业根据实际需求自行配置；餐厅内桌椅、装饰等物品由成交企业按照餐厅整体氛围营造风格的协调性统一配置，同时确保材质符合绿色环保、质量可靠的要求。</w:t>
      </w:r>
    </w:p>
    <w:p w14:paraId="2A81C265">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4.所有改造装修设计方案、餐厅桌椅及餐厅装饰等布置方案必须符合食堂主题和整体风格，能够体现学校文化、并结合青海民族大学特点进行规划，并经校方专家论证审核同意后方可执行。</w:t>
      </w:r>
    </w:p>
    <w:p w14:paraId="0D5EE160">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5.未经校方许可成交企业不得擅自改造经营餐厅，二次装修时不得随意变动经营餐厅内的主体结构。如需变动，经校方批准后在不影响餐厅房屋质量的前提下，方可进行。</w:t>
      </w:r>
    </w:p>
    <w:p w14:paraId="126EFB57">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bCs/>
          <w:color w:val="auto"/>
          <w:kern w:val="24"/>
          <w:sz w:val="24"/>
          <w:szCs w:val="24"/>
        </w:rPr>
      </w:pPr>
      <w:r>
        <w:rPr>
          <w:rFonts w:hint="eastAsia" w:asciiTheme="minorEastAsia" w:hAnsiTheme="minorEastAsia" w:eastAsiaTheme="minorEastAsia" w:cstheme="minorEastAsia"/>
          <w:bCs/>
          <w:color w:val="auto"/>
          <w:kern w:val="0"/>
          <w:sz w:val="24"/>
          <w:szCs w:val="24"/>
        </w:rPr>
        <w:t>6.成交企业对所经营餐厅不可自行冠名。</w:t>
      </w:r>
    </w:p>
    <w:p w14:paraId="27725553">
      <w:pPr>
        <w:keepNext w:val="0"/>
        <w:keepLines w:val="0"/>
        <w:pageBreakBefore w:val="0"/>
        <w:widowControl/>
        <w:kinsoku/>
        <w:wordWrap/>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7.学校以零租赁方式引进（水电气自理），餐厅所有部位（含经营楼层的公共部位）的设施设备、上下水管网、计量器具、烟灶、餐厅桌椅等设施的日常维护和维修均由成交企业自行负责（除电梯和楼宇主体结构外）。</w:t>
      </w:r>
    </w:p>
    <w:p w14:paraId="259F9CB8">
      <w:pPr>
        <w:keepNext w:val="0"/>
        <w:keepLines w:val="0"/>
        <w:pageBreakBefore w:val="0"/>
        <w:widowControl/>
        <w:kinsoku/>
        <w:wordWrap/>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8.中标企业必须按照消防部门、市场监督部门的要求对食堂进行改造，费用自行负责，验收不合格不得营业。</w:t>
      </w:r>
    </w:p>
    <w:p w14:paraId="0E50F5B6">
      <w:pPr>
        <w:keepNext w:val="0"/>
        <w:keepLines w:val="0"/>
        <w:pageBreakBefore w:val="0"/>
        <w:widowControl/>
        <w:kinsoku/>
        <w:wordWrap/>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9.</w:t>
      </w:r>
      <w:r>
        <w:rPr>
          <w:rFonts w:hint="eastAsia" w:asciiTheme="minorEastAsia" w:hAnsiTheme="minorEastAsia" w:eastAsiaTheme="minorEastAsia" w:cstheme="minorEastAsia"/>
          <w:bCs/>
          <w:color w:val="auto"/>
          <w:kern w:val="0"/>
          <w:sz w:val="24"/>
          <w:szCs w:val="24"/>
        </w:rPr>
        <w:t>供应商必须加强餐厅员工的管理，经营服务所需用工必须符合《劳动合同法》要求并签订劳动合同，凡在经营过程中员工出现的一切问题（如员工的安全、纠纷、工资、福利、保险等）由成交公司负责解决并承担法律后果，采购单位概不负任何法律责任；并购买相关保险，符合国家相关部门规定。</w:t>
      </w:r>
    </w:p>
    <w:p w14:paraId="6FDF5834">
      <w:pPr>
        <w:keepNext w:val="0"/>
        <w:keepLines w:val="0"/>
        <w:pageBreakBefore w:val="0"/>
        <w:kinsoku/>
        <w:wordWrap/>
        <w:overflowPunct w:val="0"/>
        <w:topLinePunct w:val="0"/>
        <w:bidi w:val="0"/>
        <w:spacing w:line="360" w:lineRule="auto"/>
        <w:ind w:firstLine="482" w:firstLineChars="200"/>
        <w:jc w:val="left"/>
        <w:textAlignment w:val="auto"/>
        <w:rPr>
          <w:rFonts w:hint="eastAsia" w:asciiTheme="minorEastAsia" w:hAnsiTheme="minorEastAsia" w:eastAsiaTheme="minorEastAsia" w:cstheme="minorEastAsia"/>
          <w:b/>
          <w:bCs/>
          <w:color w:val="auto"/>
          <w:kern w:val="24"/>
          <w:sz w:val="24"/>
          <w:szCs w:val="24"/>
        </w:rPr>
      </w:pPr>
      <w:r>
        <w:rPr>
          <w:rFonts w:hint="eastAsia" w:asciiTheme="minorEastAsia" w:hAnsiTheme="minorEastAsia" w:eastAsiaTheme="minorEastAsia" w:cstheme="minorEastAsia"/>
          <w:b/>
          <w:bCs/>
          <w:color w:val="auto"/>
          <w:kern w:val="24"/>
          <w:sz w:val="24"/>
          <w:szCs w:val="24"/>
        </w:rPr>
        <w:t>（四）经营要求</w:t>
      </w:r>
    </w:p>
    <w:p w14:paraId="3BE6FD81">
      <w:pPr>
        <w:keepNext w:val="0"/>
        <w:keepLines w:val="0"/>
        <w:pageBreakBefore w:val="0"/>
        <w:kinsoku/>
        <w:wordWrap/>
        <w:overflowPunct w:val="0"/>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24"/>
          <w:sz w:val="24"/>
          <w:szCs w:val="24"/>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24"/>
          <w:sz w:val="24"/>
          <w:szCs w:val="24"/>
        </w:rPr>
        <w:t>企业须向校方提出明确的经营方案并经学校审核备案，方案应包括但不限于以下内容：总体氛围营造方案（含餐厅桌椅采购布置等）、总体经营项目布局方案（含未来3年的经营规划），食品质量控制方案，服务质量控制方案，卫生管理控制方案（食品卫生、人员卫生、环境卫生、垃圾处理方案等），餐厅环境管理方案，原材料采购管理方案，成本控制方案，操作规程控制管理方案，食品保存管理方案，人员职责与管理方案，投诉处理方案，食品安全、消防、治安、停水停电停气、群体性突发事件及意外事故处理应急预案，以及其他服务内容、服务规范、服务标准、服务措施、质量管理、监控体系及说明材料。</w:t>
      </w:r>
    </w:p>
    <w:p w14:paraId="636A35CD">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24"/>
          <w:sz w:val="24"/>
          <w:szCs w:val="24"/>
        </w:rPr>
        <w:t>2.</w:t>
      </w:r>
      <w:r>
        <w:rPr>
          <w:rFonts w:hint="eastAsia" w:asciiTheme="minorEastAsia" w:hAnsiTheme="minorEastAsia" w:eastAsiaTheme="minorEastAsia" w:cstheme="minorEastAsia"/>
          <w:color w:val="auto"/>
          <w:kern w:val="0"/>
          <w:sz w:val="24"/>
          <w:szCs w:val="24"/>
        </w:rPr>
        <w:t>根据校方实际情况，企业要有针对性的经营思想、经营方法。企业必须保证饭菜质量和饭菜品种的多样性，能满足教职工不同饮食习惯和口味需求。</w:t>
      </w:r>
    </w:p>
    <w:p w14:paraId="607251C2">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3.校方提供一卡通设备，企业交易须通过一卡通设备及校方规定的其他方式，禁止除校方规定外的各种支付交易方式（如微信、支付宝、现金等），一经发现按校方相关规定严肃处理。</w:t>
      </w:r>
    </w:p>
    <w:p w14:paraId="24A53036">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24"/>
          <w:sz w:val="24"/>
          <w:szCs w:val="24"/>
        </w:rPr>
      </w:pPr>
      <w:r>
        <w:rPr>
          <w:rFonts w:hint="eastAsia" w:asciiTheme="minorEastAsia" w:hAnsiTheme="minorEastAsia" w:eastAsiaTheme="minorEastAsia" w:cstheme="minorEastAsia"/>
          <w:color w:val="auto"/>
          <w:kern w:val="24"/>
          <w:sz w:val="24"/>
          <w:szCs w:val="24"/>
        </w:rPr>
        <w:t>4.经营期内，</w:t>
      </w:r>
      <w:r>
        <w:rPr>
          <w:rFonts w:hint="eastAsia" w:asciiTheme="minorEastAsia" w:hAnsiTheme="minorEastAsia" w:eastAsiaTheme="minorEastAsia" w:cstheme="minorEastAsia"/>
          <w:color w:val="auto"/>
          <w:kern w:val="0"/>
          <w:sz w:val="24"/>
          <w:szCs w:val="24"/>
        </w:rPr>
        <w:t>餐厅内要设立意见箱和失物招领处，及时解决和处理管理服务中所出现的问题。</w:t>
      </w:r>
    </w:p>
    <w:p w14:paraId="01DBD159">
      <w:pPr>
        <w:keepNext w:val="0"/>
        <w:keepLines w:val="0"/>
        <w:pageBreakBefore w:val="0"/>
        <w:kinsoku/>
        <w:wordWrap/>
        <w:overflowPunct w:val="0"/>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24"/>
          <w:sz w:val="24"/>
          <w:szCs w:val="24"/>
        </w:rPr>
      </w:pPr>
      <w:r>
        <w:rPr>
          <w:rFonts w:hint="eastAsia" w:asciiTheme="minorEastAsia" w:hAnsiTheme="minorEastAsia" w:eastAsiaTheme="minorEastAsia" w:cstheme="minorEastAsia"/>
          <w:color w:val="auto"/>
          <w:kern w:val="24"/>
          <w:sz w:val="24"/>
          <w:szCs w:val="24"/>
        </w:rPr>
        <w:t>5.</w:t>
      </w:r>
      <w:r>
        <w:rPr>
          <w:rFonts w:hint="eastAsia" w:asciiTheme="minorEastAsia" w:hAnsiTheme="minorEastAsia" w:eastAsiaTheme="minorEastAsia" w:cstheme="minorEastAsia"/>
          <w:color w:val="auto"/>
          <w:kern w:val="0"/>
          <w:sz w:val="24"/>
          <w:szCs w:val="24"/>
        </w:rPr>
        <w:t>餐厅整体的所有区域均属于企业管理范围，</w:t>
      </w:r>
      <w:r>
        <w:rPr>
          <w:rFonts w:hint="eastAsia" w:asciiTheme="minorEastAsia" w:hAnsiTheme="minorEastAsia" w:eastAsiaTheme="minorEastAsia" w:cstheme="minorEastAsia"/>
          <w:color w:val="auto"/>
          <w:kern w:val="24"/>
          <w:sz w:val="24"/>
          <w:szCs w:val="24"/>
        </w:rPr>
        <w:t>企业承担经营期间经营范围内所有非公共区域的水、电、气、上下给排水、餐厨垃圾等费用，</w:t>
      </w:r>
      <w:r>
        <w:rPr>
          <w:rFonts w:hint="eastAsia" w:asciiTheme="minorEastAsia" w:hAnsiTheme="minorEastAsia" w:eastAsiaTheme="minorEastAsia" w:cstheme="minorEastAsia"/>
          <w:color w:val="auto"/>
          <w:kern w:val="0"/>
          <w:sz w:val="24"/>
          <w:szCs w:val="24"/>
        </w:rPr>
        <w:t>需负责食堂保洁服务（含洗消间的餐具洗消）、食堂留样等工作。</w:t>
      </w:r>
    </w:p>
    <w:p w14:paraId="25BFB2C9">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6.企业只限在餐厅现有范围内进行经营，不得随意在餐厅内部及周围增加功能区（如水吧、茶吧等），如需增加须向校方申请，经校方批准后方可执行。</w:t>
      </w:r>
    </w:p>
    <w:p w14:paraId="23E7154B">
      <w:pPr>
        <w:keepNext w:val="0"/>
        <w:keepLines w:val="0"/>
        <w:pageBreakBefore w:val="0"/>
        <w:kinsoku/>
        <w:wordWrap/>
        <w:overflowPunct w:val="0"/>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7.企业经营的饭菜应实行明码标价，饭菜价格必须按校方成本核算审核价格执行，并接受校方指导监督，体现学校食堂的公益属性。</w:t>
      </w:r>
    </w:p>
    <w:p w14:paraId="7E41353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8.企业必须于2025年2月25日开业，以保证入驻师生的用餐需求。</w:t>
      </w:r>
    </w:p>
    <w:p w14:paraId="63020DFC">
      <w:pPr>
        <w:keepNext w:val="0"/>
        <w:keepLines w:val="0"/>
        <w:pageBreakBefore w:val="0"/>
        <w:kinsoku/>
        <w:wordWrap/>
        <w:overflowPunct w:val="0"/>
        <w:topLinePunct w:val="0"/>
        <w:bidi w:val="0"/>
        <w:spacing w:line="360" w:lineRule="auto"/>
        <w:ind w:firstLine="480" w:firstLineChars="200"/>
        <w:jc w:val="left"/>
        <w:textAlignment w:val="auto"/>
        <w:rPr>
          <w:rFonts w:hint="eastAsia" w:asciiTheme="minorEastAsia" w:hAnsiTheme="minorEastAsia" w:eastAsiaTheme="minorEastAsia" w:cstheme="minorEastAsia"/>
          <w:bCs/>
          <w:color w:val="auto"/>
          <w:kern w:val="24"/>
          <w:sz w:val="24"/>
          <w:szCs w:val="24"/>
        </w:rPr>
      </w:pPr>
      <w:r>
        <w:rPr>
          <w:rFonts w:hint="eastAsia" w:asciiTheme="minorEastAsia" w:hAnsiTheme="minorEastAsia" w:eastAsiaTheme="minorEastAsia" w:cstheme="minorEastAsia"/>
          <w:bCs/>
          <w:color w:val="auto"/>
          <w:kern w:val="24"/>
          <w:sz w:val="24"/>
          <w:szCs w:val="24"/>
        </w:rPr>
        <w:t>9.企业受《青海民族大学食堂监督管理实施办法》的监管，如违反相关条款，按规定予以处罚、约谈、直至解除合同，由此造成的损失，企业自行负责。</w:t>
      </w:r>
    </w:p>
    <w:p w14:paraId="2644083B">
      <w:pPr>
        <w:keepNext w:val="0"/>
        <w:keepLines w:val="0"/>
        <w:pageBreakBefore w:val="0"/>
        <w:kinsoku/>
        <w:wordWrap/>
        <w:overflowPunct w:val="0"/>
        <w:topLinePunct w:val="0"/>
        <w:bidi w:val="0"/>
        <w:spacing w:line="360" w:lineRule="auto"/>
        <w:ind w:firstLine="480" w:firstLineChars="200"/>
        <w:jc w:val="left"/>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24"/>
          <w:sz w:val="24"/>
          <w:szCs w:val="24"/>
        </w:rPr>
        <w:t>10.</w:t>
      </w:r>
      <w:r>
        <w:rPr>
          <w:rFonts w:hint="eastAsia" w:asciiTheme="minorEastAsia" w:hAnsiTheme="minorEastAsia" w:eastAsiaTheme="minorEastAsia" w:cstheme="minorEastAsia"/>
          <w:bCs/>
          <w:color w:val="auto"/>
          <w:kern w:val="0"/>
          <w:sz w:val="24"/>
          <w:szCs w:val="24"/>
        </w:rPr>
        <w:t>企业在合同期内不得超经营范围；不得无故停业；不得私自转让、出租或改变经营用途及经营品种；不得利用校方资产搞不法经营。一经发现上述行为，校方有权立刻取消成交企业经营资格并随时终止合同，并给予企业一定的经济处罚，同时保留诉诸法律的权利。</w:t>
      </w:r>
    </w:p>
    <w:p w14:paraId="4966158D">
      <w:pPr>
        <w:keepNext w:val="0"/>
        <w:keepLines w:val="0"/>
        <w:pageBreakBefore w:val="0"/>
        <w:kinsoku/>
        <w:wordWrap/>
        <w:topLinePunct w:val="0"/>
        <w:bidi w:val="0"/>
        <w:spacing w:line="360" w:lineRule="auto"/>
        <w:ind w:firstLine="482" w:firstLineChars="200"/>
        <w:jc w:val="left"/>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（五）用工管理要求</w:t>
      </w:r>
    </w:p>
    <w:p w14:paraId="70694F8C">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企业应具备完善的管理制度和丰富的餐饮管理经验，诚信度高，安全意识强，管理团队稳定，经营学校餐厅的员工人数应与其经营规模相适应。</w:t>
      </w:r>
    </w:p>
    <w:p w14:paraId="64198D61">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1.企业应设置食品安全管理机构，配备餐厅负责人和专职食品安全管理人员，全面负责餐厅食品安全管理工作。</w:t>
      </w:r>
    </w:p>
    <w:p w14:paraId="5A1C4DD8">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24"/>
          <w:sz w:val="24"/>
          <w:szCs w:val="24"/>
        </w:rPr>
      </w:pPr>
      <w:r>
        <w:rPr>
          <w:rFonts w:hint="eastAsia" w:asciiTheme="minorEastAsia" w:hAnsiTheme="minorEastAsia" w:eastAsiaTheme="minorEastAsia" w:cstheme="minorEastAsia"/>
          <w:color w:val="auto"/>
          <w:kern w:val="0"/>
          <w:sz w:val="24"/>
          <w:szCs w:val="24"/>
        </w:rPr>
        <w:t>2.企业需确定一名财务人员与校方膳食管理部门进行收费及结算对接，财务人员应具备中级及以上会计资格，且严格遵守国家及地方的财会法律和制度；合同期内，企业不得随意更换财务人员，如需更换需经校方同意。</w:t>
      </w:r>
    </w:p>
    <w:p w14:paraId="4E6F59BA">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24"/>
          <w:sz w:val="24"/>
          <w:szCs w:val="24"/>
        </w:rPr>
        <w:t>3.</w:t>
      </w:r>
      <w:r>
        <w:rPr>
          <w:rFonts w:hint="eastAsia" w:asciiTheme="minorEastAsia" w:hAnsiTheme="minorEastAsia" w:eastAsiaTheme="minorEastAsia" w:cstheme="minorEastAsia"/>
          <w:color w:val="auto"/>
          <w:kern w:val="0"/>
          <w:sz w:val="24"/>
          <w:szCs w:val="24"/>
        </w:rPr>
        <w:t>企业经营期间的从业人员应掌握有关食品安全、生产安全基本知识和相关法律法规要求；遵守餐饮法规、校纪、校规以及后勤保障处各项规章制度。要有良好的服务态度并进行实施,不能与师生发生争吵或冲突,如发现违规者,校方有权视情节严重程度提出处理意见。</w:t>
      </w:r>
    </w:p>
    <w:p w14:paraId="3AAD5978">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校方有权对企业餐厅用工情况进行监督和检查；企业用工必须遵守国家及地方的法律法规，依法用工、缴纳保险，并承担相应法律责任；企业须对员工定期体检，对新进员工进行岗前培训并持有效健康证上岗，要求员工具有良好的个人卫生习惯和服务意识；企业员工信息应根据校方要求，在校方监管部门备案。</w:t>
      </w:r>
    </w:p>
    <w:p w14:paraId="1DD3A1FE">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餐厅工作人员由企业自行安排，人员经费自理。企业工作人员必须参加校方的各类培训；卫生检疫、工作人员体检、员工保险（含社会责任险等）、伤残疾病、食宿等费用均由企业自理（如在校园内给员工租房，必须加强员工管理，发生任何问题自行负责）。</w:t>
      </w:r>
    </w:p>
    <w:p w14:paraId="0ACF29B5">
      <w:pPr>
        <w:keepNext w:val="0"/>
        <w:keepLines w:val="0"/>
        <w:pageBreakBefore w:val="0"/>
        <w:kinsoku/>
        <w:wordWrap/>
        <w:topLinePunct w:val="0"/>
        <w:bidi w:val="0"/>
        <w:spacing w:line="360" w:lineRule="auto"/>
        <w:ind w:firstLine="482" w:firstLineChars="200"/>
        <w:jc w:val="left"/>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（六）物资采购要求</w:t>
      </w:r>
    </w:p>
    <w:p w14:paraId="71E7202E">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企业使用的食品原材料学校未统一招标采购前，由企业自行采购（所有食材符合国家QS认证标志），采购供应商需报学校监管部门审核并备案，并做好台账及索证索票工作。</w:t>
      </w:r>
    </w:p>
    <w:p w14:paraId="2756C1BF">
      <w:pPr>
        <w:keepNext w:val="0"/>
        <w:keepLines w:val="0"/>
        <w:pageBreakBefore w:val="0"/>
        <w:kinsoku/>
        <w:wordWrap/>
        <w:overflowPunct w:val="0"/>
        <w:topLinePunct w:val="0"/>
        <w:bidi w:val="0"/>
        <w:spacing w:line="360" w:lineRule="auto"/>
        <w:ind w:firstLine="482" w:firstLineChars="200"/>
        <w:jc w:val="left"/>
        <w:textAlignment w:val="auto"/>
        <w:rPr>
          <w:rFonts w:hint="eastAsia" w:asciiTheme="minorEastAsia" w:hAnsiTheme="minorEastAsia" w:eastAsiaTheme="minorEastAsia" w:cstheme="minorEastAsia"/>
          <w:b/>
          <w:bCs/>
          <w:color w:val="auto"/>
          <w:kern w:val="24"/>
          <w:sz w:val="24"/>
          <w:szCs w:val="24"/>
        </w:rPr>
      </w:pPr>
      <w:r>
        <w:rPr>
          <w:rFonts w:hint="eastAsia" w:asciiTheme="minorEastAsia" w:hAnsiTheme="minorEastAsia" w:eastAsiaTheme="minorEastAsia" w:cstheme="minorEastAsia"/>
          <w:b/>
          <w:bCs/>
          <w:color w:val="auto"/>
          <w:kern w:val="24"/>
          <w:sz w:val="24"/>
          <w:szCs w:val="24"/>
        </w:rPr>
        <w:t>（七）资产管理要求</w:t>
      </w:r>
    </w:p>
    <w:p w14:paraId="5F7CEB0F">
      <w:pPr>
        <w:keepNext w:val="0"/>
        <w:keepLines w:val="0"/>
        <w:pageBreakBefore w:val="0"/>
        <w:kinsoku/>
        <w:wordWrap/>
        <w:overflowPunct w:val="0"/>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24"/>
          <w:sz w:val="24"/>
          <w:szCs w:val="24"/>
        </w:rPr>
      </w:pPr>
      <w:r>
        <w:rPr>
          <w:rFonts w:hint="eastAsia" w:asciiTheme="minorEastAsia" w:hAnsiTheme="minorEastAsia" w:eastAsiaTheme="minorEastAsia" w:cstheme="minorEastAsia"/>
          <w:color w:val="auto"/>
          <w:kern w:val="24"/>
          <w:sz w:val="24"/>
          <w:szCs w:val="24"/>
        </w:rPr>
        <w:t>企业对餐厅内校方的固定资产负有保管的义务，餐厅所有设施设备（水电气设施、消防设施、排油烟系统、洗消设备、后厨设备、大厅设施设备等）需进行定期的维护保养、年检等，所涉及的维修保养等一切费用均由成交企业承担。</w:t>
      </w:r>
    </w:p>
    <w:p w14:paraId="47CB0264">
      <w:pPr>
        <w:keepNext w:val="0"/>
        <w:keepLines w:val="0"/>
        <w:pageBreakBefore w:val="0"/>
        <w:kinsoku/>
        <w:wordWrap/>
        <w:overflowPunct w:val="0"/>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24"/>
          <w:sz w:val="24"/>
          <w:szCs w:val="24"/>
        </w:rPr>
      </w:pPr>
      <w:r>
        <w:rPr>
          <w:rFonts w:hint="eastAsia" w:asciiTheme="minorEastAsia" w:hAnsiTheme="minorEastAsia" w:eastAsiaTheme="minorEastAsia" w:cstheme="minorEastAsia"/>
          <w:color w:val="auto"/>
          <w:kern w:val="24"/>
          <w:sz w:val="24"/>
          <w:szCs w:val="24"/>
        </w:rPr>
        <w:t>1.校方仅提供现有设备供成交企业使用（以设施设备移交清单为准）。</w:t>
      </w:r>
    </w:p>
    <w:p w14:paraId="4E63CB54">
      <w:pPr>
        <w:keepNext w:val="0"/>
        <w:keepLines w:val="0"/>
        <w:pageBreakBefore w:val="0"/>
        <w:kinsoku/>
        <w:wordWrap/>
        <w:overflowPunct w:val="0"/>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24"/>
          <w:sz w:val="24"/>
          <w:szCs w:val="24"/>
        </w:rPr>
      </w:pPr>
      <w:r>
        <w:rPr>
          <w:rFonts w:hint="eastAsia" w:asciiTheme="minorEastAsia" w:hAnsiTheme="minorEastAsia" w:eastAsiaTheme="minorEastAsia" w:cstheme="minorEastAsia"/>
          <w:color w:val="auto"/>
          <w:kern w:val="24"/>
          <w:sz w:val="24"/>
          <w:szCs w:val="24"/>
        </w:rPr>
        <w:t>2.成交企业可根据自身实际需求，添置补充设施设备。合同期满，成交企业对所添置炊灶具和餐桌椅自行处置，校方不回收、不折价、不抵扣，合同期满15日内不搬者，视为无偿捐赠；其它设施设备部分，不得破坏性拆除，须无偿留归校方所有。</w:t>
      </w:r>
    </w:p>
    <w:p w14:paraId="342CAE31">
      <w:pPr>
        <w:keepNext w:val="0"/>
        <w:keepLines w:val="0"/>
        <w:pageBreakBefore w:val="0"/>
        <w:kinsoku/>
        <w:wordWrap/>
        <w:overflowPunct w:val="0"/>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24"/>
          <w:sz w:val="24"/>
          <w:szCs w:val="24"/>
        </w:rPr>
      </w:pPr>
      <w:r>
        <w:rPr>
          <w:rFonts w:hint="eastAsia" w:asciiTheme="minorEastAsia" w:hAnsiTheme="minorEastAsia" w:eastAsiaTheme="minorEastAsia" w:cstheme="minorEastAsia"/>
          <w:color w:val="auto"/>
          <w:kern w:val="24"/>
          <w:sz w:val="24"/>
          <w:szCs w:val="24"/>
        </w:rPr>
        <w:t>3.成交企业不得将校方资产及经营投资做任何形式的抵押或处置。</w:t>
      </w:r>
    </w:p>
    <w:p w14:paraId="5C3A653D">
      <w:pPr>
        <w:keepNext w:val="0"/>
        <w:keepLines w:val="0"/>
        <w:pageBreakBefore w:val="0"/>
        <w:kinsoku/>
        <w:wordWrap/>
        <w:overflowPunct w:val="0"/>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24"/>
          <w:sz w:val="24"/>
          <w:szCs w:val="24"/>
        </w:rPr>
      </w:pPr>
      <w:r>
        <w:rPr>
          <w:rFonts w:hint="eastAsia" w:asciiTheme="minorEastAsia" w:hAnsiTheme="minorEastAsia" w:eastAsiaTheme="minorEastAsia" w:cstheme="minorEastAsia"/>
          <w:color w:val="auto"/>
          <w:kern w:val="24"/>
          <w:sz w:val="24"/>
          <w:szCs w:val="24"/>
        </w:rPr>
        <w:t>4.成交企业对校方配置的公物、设施设备造成损坏和丢失的，遵照校方资产管理的有关规定进行赔偿。</w:t>
      </w:r>
    </w:p>
    <w:p w14:paraId="1EF03B15">
      <w:pPr>
        <w:keepNext w:val="0"/>
        <w:keepLines w:val="0"/>
        <w:pageBreakBefore w:val="0"/>
        <w:kinsoku/>
        <w:wordWrap/>
        <w:overflowPunct w:val="0"/>
        <w:topLinePunct w:val="0"/>
        <w:bidi w:val="0"/>
        <w:spacing w:line="360" w:lineRule="auto"/>
        <w:ind w:firstLine="482" w:firstLineChars="200"/>
        <w:jc w:val="left"/>
        <w:textAlignment w:val="auto"/>
        <w:rPr>
          <w:rFonts w:hint="eastAsia" w:asciiTheme="minorEastAsia" w:hAnsiTheme="minorEastAsia" w:eastAsiaTheme="minorEastAsia" w:cstheme="minorEastAsia"/>
          <w:b/>
          <w:bCs/>
          <w:color w:val="auto"/>
          <w:kern w:val="24"/>
          <w:sz w:val="24"/>
          <w:szCs w:val="24"/>
        </w:rPr>
      </w:pPr>
      <w:r>
        <w:rPr>
          <w:rFonts w:hint="eastAsia" w:asciiTheme="minorEastAsia" w:hAnsiTheme="minorEastAsia" w:eastAsiaTheme="minorEastAsia" w:cstheme="minorEastAsia"/>
          <w:b/>
          <w:bCs/>
          <w:color w:val="auto"/>
          <w:kern w:val="24"/>
          <w:sz w:val="24"/>
          <w:szCs w:val="24"/>
        </w:rPr>
        <w:t>（八）安全责任要求</w:t>
      </w:r>
    </w:p>
    <w:p w14:paraId="7DFD8BC8">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24"/>
          <w:sz w:val="24"/>
          <w:szCs w:val="24"/>
        </w:rPr>
      </w:pPr>
      <w:r>
        <w:rPr>
          <w:rFonts w:hint="eastAsia" w:asciiTheme="minorEastAsia" w:hAnsiTheme="minorEastAsia" w:eastAsiaTheme="minorEastAsia" w:cstheme="minorEastAsia"/>
          <w:color w:val="auto"/>
          <w:kern w:val="24"/>
          <w:sz w:val="24"/>
          <w:szCs w:val="24"/>
        </w:rPr>
        <w:t>1.成交企业要认真落实</w:t>
      </w:r>
      <w:r>
        <w:rPr>
          <w:rFonts w:hint="eastAsia" w:asciiTheme="minorEastAsia" w:hAnsiTheme="minorEastAsia" w:eastAsiaTheme="minorEastAsia" w:cstheme="minorEastAsia"/>
          <w:color w:val="auto"/>
          <w:kern w:val="0"/>
          <w:sz w:val="24"/>
          <w:szCs w:val="24"/>
        </w:rPr>
        <w:t>《中华人民共和国食品安全法》、</w:t>
      </w:r>
      <w:r>
        <w:rPr>
          <w:rFonts w:hint="eastAsia" w:asciiTheme="minorEastAsia" w:hAnsiTheme="minorEastAsia" w:eastAsiaTheme="minorEastAsia" w:cstheme="minorEastAsia"/>
          <w:color w:val="auto"/>
          <w:kern w:val="24"/>
          <w:sz w:val="24"/>
          <w:szCs w:val="24"/>
        </w:rPr>
        <w:t>《普通高等学校食堂安全工作指南》、</w:t>
      </w:r>
      <w:r>
        <w:rPr>
          <w:rFonts w:hint="eastAsia" w:asciiTheme="minorEastAsia" w:hAnsiTheme="minorEastAsia" w:eastAsiaTheme="minorEastAsia" w:cstheme="minorEastAsia"/>
          <w:color w:val="auto"/>
          <w:kern w:val="0"/>
          <w:sz w:val="24"/>
          <w:szCs w:val="24"/>
        </w:rPr>
        <w:t>《餐饮服务食品安全操作规范》、《学校食品安全与健康管理规定》等相关法律法规的</w:t>
      </w:r>
      <w:r>
        <w:rPr>
          <w:rFonts w:hint="eastAsia" w:asciiTheme="minorEastAsia" w:hAnsiTheme="minorEastAsia" w:eastAsiaTheme="minorEastAsia" w:cstheme="minorEastAsia"/>
          <w:color w:val="auto"/>
          <w:kern w:val="24"/>
          <w:sz w:val="24"/>
          <w:szCs w:val="24"/>
        </w:rPr>
        <w:t>有关要求，对落实食品安全责任制，规范餐饮管理，食堂安全程序等工作负全责。</w:t>
      </w:r>
    </w:p>
    <w:p w14:paraId="70462EBB">
      <w:pPr>
        <w:keepNext w:val="0"/>
        <w:keepLines w:val="0"/>
        <w:pageBreakBefore w:val="0"/>
        <w:kinsoku/>
        <w:wordWrap/>
        <w:overflowPunct w:val="0"/>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24"/>
          <w:sz w:val="24"/>
          <w:szCs w:val="24"/>
        </w:rPr>
      </w:pPr>
      <w:r>
        <w:rPr>
          <w:rFonts w:hint="eastAsia" w:asciiTheme="minorEastAsia" w:hAnsiTheme="minorEastAsia" w:eastAsiaTheme="minorEastAsia" w:cstheme="minorEastAsia"/>
          <w:color w:val="auto"/>
          <w:kern w:val="24"/>
          <w:sz w:val="24"/>
          <w:szCs w:val="24"/>
        </w:rPr>
        <w:t>2.成交企业要认真落实《普通高等学校消防安全工作指南》等有关要求，对落实消防安全责任制、安全管理、安全检查、教育培训等工作负全责。</w:t>
      </w:r>
    </w:p>
    <w:p w14:paraId="331B3288">
      <w:pPr>
        <w:keepNext w:val="0"/>
        <w:keepLines w:val="0"/>
        <w:pageBreakBefore w:val="0"/>
        <w:kinsoku/>
        <w:wordWrap/>
        <w:overflowPunct w:val="0"/>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24"/>
          <w:sz w:val="24"/>
          <w:szCs w:val="24"/>
        </w:rPr>
      </w:pPr>
      <w:r>
        <w:rPr>
          <w:rFonts w:hint="eastAsia" w:asciiTheme="minorEastAsia" w:hAnsiTheme="minorEastAsia" w:eastAsiaTheme="minorEastAsia" w:cstheme="minorEastAsia"/>
          <w:color w:val="auto"/>
          <w:kern w:val="24"/>
          <w:sz w:val="24"/>
          <w:szCs w:val="24"/>
        </w:rPr>
        <w:t>3.成交企业向校方提交安全责任承诺书（食品、消防和综合治理），对责任范围内的安全责任负全责，由此造成的一切损失由成交企业承担。</w:t>
      </w:r>
    </w:p>
    <w:p w14:paraId="36C84DB2">
      <w:pPr>
        <w:keepNext w:val="0"/>
        <w:keepLines w:val="0"/>
        <w:pageBreakBefore w:val="0"/>
        <w:kinsoku/>
        <w:wordWrap/>
        <w:overflowPunct w:val="0"/>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24"/>
          <w:sz w:val="24"/>
          <w:szCs w:val="24"/>
        </w:rPr>
      </w:pPr>
      <w:r>
        <w:rPr>
          <w:rFonts w:hint="eastAsia" w:asciiTheme="minorEastAsia" w:hAnsiTheme="minorEastAsia" w:eastAsiaTheme="minorEastAsia" w:cstheme="minorEastAsia"/>
          <w:color w:val="auto"/>
          <w:kern w:val="24"/>
          <w:sz w:val="24"/>
          <w:szCs w:val="24"/>
        </w:rPr>
        <w:t>4.由于不可抗力因素，造成成交企业的损失，校方不负责任。</w:t>
      </w:r>
    </w:p>
    <w:p w14:paraId="37B501AE">
      <w:pPr>
        <w:keepNext w:val="0"/>
        <w:keepLines w:val="0"/>
        <w:pageBreakBefore w:val="0"/>
        <w:kinsoku/>
        <w:wordWrap/>
        <w:overflowPunct w:val="0"/>
        <w:topLinePunct w:val="0"/>
        <w:bidi w:val="0"/>
        <w:spacing w:line="360" w:lineRule="auto"/>
        <w:ind w:firstLine="482" w:firstLineChars="200"/>
        <w:jc w:val="left"/>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（九）日常监管要求</w:t>
      </w:r>
    </w:p>
    <w:p w14:paraId="767AB58E">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24"/>
          <w:sz w:val="24"/>
          <w:szCs w:val="24"/>
        </w:rPr>
        <w:t>1.成交企业经营过程中必须遵循校方有关食材采供、饭菜售卖、监督考核等规定。</w:t>
      </w:r>
      <w:r>
        <w:rPr>
          <w:rFonts w:hint="eastAsia" w:asciiTheme="minorEastAsia" w:hAnsiTheme="minorEastAsia" w:eastAsiaTheme="minorEastAsia" w:cstheme="minorEastAsia"/>
          <w:color w:val="auto"/>
          <w:kern w:val="0"/>
          <w:sz w:val="24"/>
          <w:szCs w:val="24"/>
        </w:rPr>
        <w:t>成交企业有义务接受校方对环境及餐饮服务人员卫生、食品卫生、服务态度、饭菜质量的监督、检查、民意测评。同时，成交企业必须对自身经营风险承担全部后果，按双方签订的经营合同的规定承担全部安全、卫生、质量、效益及风险责任，并对有关安全责任作出明确的承诺。</w:t>
      </w:r>
    </w:p>
    <w:p w14:paraId="04424DB1">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成交企业必须保证严格遵守国家有关餐饮业的各项法律法规和国家、所在地的规范、标准等相关规定，执行校方各项规章制度，按照校方规定时间做好餐饮保障服务，对于校方根据实际情况发生的餐饮服务时间的改变要无条件执行。</w:t>
      </w:r>
    </w:p>
    <w:p w14:paraId="1BBE009A">
      <w:pPr>
        <w:keepNext w:val="0"/>
        <w:keepLines w:val="0"/>
        <w:pageBreakBefore w:val="0"/>
        <w:kinsoku/>
        <w:wordWrap/>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3.成交企业必须积极配合参加校方的各类活动，必须按照校方要求做好国家法定节日及各类重大活动期间的相关工作。</w:t>
      </w:r>
    </w:p>
    <w:p w14:paraId="4B4C30A9">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cs="宋体"/>
          <w:b w:val="0"/>
          <w:bCs w:val="0"/>
          <w:color w:val="auto"/>
          <w:sz w:val="24"/>
          <w:szCs w:val="24"/>
          <w:lang w:val="en-US" w:eastAsia="zh-CN"/>
        </w:rPr>
      </w:pPr>
    </w:p>
    <w:p w14:paraId="55E2CF51">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14:paraId="4844BDDF">
      <w:pPr>
        <w:pStyle w:val="7"/>
        <w:rPr>
          <w:rFonts w:hint="eastAsia"/>
          <w:color w:val="auto"/>
        </w:rPr>
      </w:pPr>
    </w:p>
    <w:p w14:paraId="5E6E077F">
      <w:pPr>
        <w:pStyle w:val="2"/>
        <w:spacing w:line="360" w:lineRule="auto"/>
        <w:rPr>
          <w:rFonts w:ascii="宋体" w:cs="Times New Roman"/>
          <w:color w:val="auto"/>
          <w:spacing w:val="20"/>
          <w:highlight w:val="none"/>
        </w:rPr>
      </w:pPr>
      <w:bookmarkStart w:id="217" w:name="_Toc10381"/>
      <w:r>
        <w:rPr>
          <w:rFonts w:hint="eastAsia" w:ascii="宋体" w:hAnsi="宋体" w:cs="宋体"/>
          <w:color w:val="auto"/>
          <w:highlight w:val="none"/>
        </w:rPr>
        <w:t>第六章</w:t>
      </w:r>
      <w:r>
        <w:rPr>
          <w:rFonts w:ascii="宋体" w:hAnsi="宋体" w:cs="宋体"/>
          <w:color w:val="auto"/>
          <w:highlight w:val="none"/>
        </w:rPr>
        <w:t xml:space="preserve">  </w:t>
      </w:r>
      <w:r>
        <w:rPr>
          <w:rFonts w:hint="eastAsia" w:ascii="宋体" w:hAnsi="宋体" w:cs="宋体"/>
          <w:color w:val="auto"/>
          <w:highlight w:val="none"/>
        </w:rPr>
        <w:t>响应文件格式</w:t>
      </w:r>
      <w:bookmarkEnd w:id="217"/>
    </w:p>
    <w:p w14:paraId="621980A5">
      <w:pPr>
        <w:spacing w:line="360" w:lineRule="auto"/>
        <w:ind w:firstLine="480" w:firstLineChars="200"/>
        <w:rPr>
          <w:rFonts w:ascii="宋体" w:cs="Times New Roman"/>
          <w:color w:val="auto"/>
          <w:sz w:val="24"/>
          <w:szCs w:val="24"/>
          <w:highlight w:val="none"/>
        </w:rPr>
      </w:pPr>
    </w:p>
    <w:p w14:paraId="6FD39F89">
      <w:pPr>
        <w:spacing w:line="360" w:lineRule="auto"/>
        <w:ind w:firstLine="480" w:firstLineChars="200"/>
        <w:rPr>
          <w:rFonts w:ascii="宋体" w:cs="Times New Roman"/>
          <w:color w:val="auto"/>
          <w:sz w:val="24"/>
          <w:szCs w:val="24"/>
          <w:highlight w:val="none"/>
        </w:rPr>
      </w:pPr>
    </w:p>
    <w:p w14:paraId="75469631">
      <w:pPr>
        <w:spacing w:line="360" w:lineRule="auto"/>
        <w:jc w:val="center"/>
        <w:rPr>
          <w:rFonts w:ascii="宋体" w:cs="Times New Roman"/>
          <w:color w:val="auto"/>
          <w:sz w:val="32"/>
          <w:szCs w:val="32"/>
          <w:highlight w:val="none"/>
        </w:rPr>
      </w:pPr>
      <w:r>
        <w:rPr>
          <w:rFonts w:hint="eastAsia" w:ascii="宋体" w:hAnsi="宋体" w:cs="宋体"/>
          <w:color w:val="auto"/>
          <w:sz w:val="32"/>
          <w:szCs w:val="32"/>
          <w:highlight w:val="none"/>
          <w:u w:val="single"/>
        </w:rPr>
        <w:t>（项目名称</w:t>
      </w:r>
      <w:r>
        <w:rPr>
          <w:rFonts w:hint="eastAsia" w:ascii="宋体" w:hAnsi="宋体" w:cs="宋体"/>
          <w:color w:val="auto"/>
          <w:sz w:val="32"/>
          <w:szCs w:val="32"/>
          <w:highlight w:val="none"/>
          <w:u w:val="single"/>
          <w:lang w:eastAsia="zh-CN"/>
        </w:rPr>
        <w:t>：</w:t>
      </w:r>
      <w:r>
        <w:rPr>
          <w:rFonts w:hint="eastAsia" w:ascii="宋体" w:hAnsi="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rPr>
        <w:t>）</w:t>
      </w:r>
    </w:p>
    <w:p w14:paraId="2159685A">
      <w:pPr>
        <w:pStyle w:val="18"/>
        <w:widowControl/>
        <w:spacing w:beforeAutospacing="0" w:afterAutospacing="0" w:line="360" w:lineRule="auto"/>
        <w:jc w:val="center"/>
        <w:rPr>
          <w:rFonts w:ascii="宋体" w:cs="Times New Roman"/>
          <w:color w:val="auto"/>
          <w:highlight w:val="none"/>
        </w:rPr>
      </w:pPr>
    </w:p>
    <w:p w14:paraId="1679B3E1">
      <w:pPr>
        <w:pStyle w:val="18"/>
        <w:widowControl/>
        <w:spacing w:beforeAutospacing="0" w:afterAutospacing="0" w:line="360" w:lineRule="auto"/>
        <w:jc w:val="center"/>
        <w:rPr>
          <w:rFonts w:ascii="宋体" w:cs="Times New Roman"/>
          <w:color w:val="auto"/>
          <w:highlight w:val="none"/>
        </w:rPr>
      </w:pPr>
    </w:p>
    <w:p w14:paraId="217068BD">
      <w:pPr>
        <w:pStyle w:val="18"/>
        <w:widowControl/>
        <w:spacing w:beforeAutospacing="0" w:afterAutospacing="0" w:line="360" w:lineRule="auto"/>
        <w:jc w:val="center"/>
        <w:rPr>
          <w:rFonts w:ascii="宋体" w:cs="Times New Roman"/>
          <w:color w:val="auto"/>
          <w:highlight w:val="none"/>
        </w:rPr>
      </w:pPr>
    </w:p>
    <w:p w14:paraId="1C17A14A">
      <w:pPr>
        <w:pStyle w:val="18"/>
        <w:widowControl/>
        <w:spacing w:beforeAutospacing="0" w:afterAutospacing="0" w:line="360" w:lineRule="auto"/>
        <w:jc w:val="center"/>
        <w:rPr>
          <w:rFonts w:ascii="宋体" w:cs="Times New Roman"/>
          <w:color w:val="auto"/>
          <w:highlight w:val="none"/>
        </w:rPr>
      </w:pPr>
    </w:p>
    <w:p w14:paraId="52DA9617">
      <w:pPr>
        <w:pStyle w:val="9"/>
        <w:spacing w:after="0" w:line="360" w:lineRule="auto"/>
        <w:rPr>
          <w:rFonts w:ascii="宋体" w:cs="Times New Roman"/>
          <w:color w:val="auto"/>
          <w:highlight w:val="none"/>
        </w:rPr>
      </w:pPr>
    </w:p>
    <w:p w14:paraId="4051A5EB">
      <w:pPr>
        <w:spacing w:line="360" w:lineRule="auto"/>
        <w:rPr>
          <w:rFonts w:ascii="宋体" w:cs="Times New Roman"/>
          <w:color w:val="auto"/>
          <w:highlight w:val="none"/>
        </w:rPr>
      </w:pPr>
    </w:p>
    <w:p w14:paraId="4D3495DF">
      <w:pPr>
        <w:rPr>
          <w:rFonts w:ascii="宋体" w:cs="Times New Roman"/>
          <w:color w:val="auto"/>
          <w:highlight w:val="none"/>
        </w:rPr>
      </w:pPr>
    </w:p>
    <w:p w14:paraId="462A5D05">
      <w:pPr>
        <w:pStyle w:val="18"/>
        <w:widowControl/>
        <w:spacing w:beforeAutospacing="0" w:afterAutospacing="0" w:line="360" w:lineRule="auto"/>
        <w:jc w:val="both"/>
        <w:rPr>
          <w:rFonts w:ascii="宋体" w:cs="Times New Roman"/>
          <w:color w:val="auto"/>
          <w:highlight w:val="none"/>
        </w:rPr>
      </w:pPr>
    </w:p>
    <w:p w14:paraId="09BBE23D">
      <w:pPr>
        <w:pStyle w:val="18"/>
        <w:widowControl/>
        <w:spacing w:beforeAutospacing="0" w:afterAutospacing="0" w:line="360" w:lineRule="auto"/>
        <w:jc w:val="center"/>
        <w:rPr>
          <w:rFonts w:ascii="宋体" w:cs="Times New Roman"/>
          <w:b/>
          <w:bCs/>
          <w:color w:val="auto"/>
          <w:sz w:val="52"/>
          <w:szCs w:val="52"/>
          <w:highlight w:val="none"/>
        </w:rPr>
      </w:pPr>
      <w:r>
        <w:rPr>
          <w:rFonts w:hint="eastAsia" w:ascii="宋体" w:hAnsi="宋体" w:cs="宋体"/>
          <w:b/>
          <w:bCs/>
          <w:color w:val="auto"/>
          <w:sz w:val="56"/>
          <w:szCs w:val="56"/>
          <w:highlight w:val="none"/>
        </w:rPr>
        <w:t>响</w:t>
      </w:r>
      <w:r>
        <w:rPr>
          <w:rFonts w:ascii="宋体" w:hAnsi="宋体" w:cs="宋体"/>
          <w:b/>
          <w:bCs/>
          <w:color w:val="auto"/>
          <w:sz w:val="56"/>
          <w:szCs w:val="56"/>
          <w:highlight w:val="none"/>
        </w:rPr>
        <w:t xml:space="preserve"> </w:t>
      </w:r>
      <w:r>
        <w:rPr>
          <w:rFonts w:hint="eastAsia" w:ascii="宋体" w:hAnsi="宋体" w:cs="宋体"/>
          <w:b/>
          <w:bCs/>
          <w:color w:val="auto"/>
          <w:sz w:val="56"/>
          <w:szCs w:val="56"/>
          <w:highlight w:val="none"/>
        </w:rPr>
        <w:t>应</w:t>
      </w:r>
      <w:r>
        <w:rPr>
          <w:rFonts w:ascii="宋体" w:hAnsi="宋体" w:cs="宋体"/>
          <w:b/>
          <w:bCs/>
          <w:color w:val="auto"/>
          <w:sz w:val="56"/>
          <w:szCs w:val="56"/>
          <w:highlight w:val="none"/>
        </w:rPr>
        <w:t xml:space="preserve"> </w:t>
      </w:r>
      <w:r>
        <w:rPr>
          <w:rFonts w:hint="eastAsia" w:ascii="宋体" w:hAnsi="宋体" w:cs="宋体"/>
          <w:b/>
          <w:bCs/>
          <w:color w:val="auto"/>
          <w:sz w:val="56"/>
          <w:szCs w:val="56"/>
          <w:highlight w:val="none"/>
        </w:rPr>
        <w:t>文件</w:t>
      </w:r>
    </w:p>
    <w:p w14:paraId="7FB96BDA">
      <w:pPr>
        <w:pStyle w:val="18"/>
        <w:widowControl/>
        <w:spacing w:beforeAutospacing="0" w:afterAutospacing="0" w:line="360" w:lineRule="auto"/>
        <w:rPr>
          <w:rFonts w:ascii="宋体" w:cs="Times New Roman"/>
          <w:color w:val="auto"/>
          <w:highlight w:val="none"/>
        </w:rPr>
      </w:pPr>
    </w:p>
    <w:p w14:paraId="13BA6388">
      <w:pPr>
        <w:pStyle w:val="18"/>
        <w:widowControl/>
        <w:spacing w:beforeAutospacing="0" w:afterAutospacing="0" w:line="360" w:lineRule="auto"/>
        <w:rPr>
          <w:rFonts w:ascii="宋体" w:cs="Times New Roman"/>
          <w:color w:val="auto"/>
          <w:highlight w:val="none"/>
        </w:rPr>
      </w:pPr>
    </w:p>
    <w:p w14:paraId="15FB2569">
      <w:pPr>
        <w:pStyle w:val="18"/>
        <w:widowControl/>
        <w:spacing w:beforeAutospacing="0" w:afterAutospacing="0" w:line="360" w:lineRule="auto"/>
        <w:rPr>
          <w:rFonts w:ascii="宋体" w:cs="Times New Roman"/>
          <w:color w:val="auto"/>
          <w:highlight w:val="none"/>
        </w:rPr>
      </w:pPr>
    </w:p>
    <w:p w14:paraId="54D4AFD8">
      <w:pPr>
        <w:pStyle w:val="18"/>
        <w:widowControl/>
        <w:spacing w:beforeAutospacing="0" w:afterAutospacing="0" w:line="360" w:lineRule="auto"/>
        <w:rPr>
          <w:rFonts w:ascii="宋体" w:cs="Times New Roman"/>
          <w:color w:val="auto"/>
          <w:highlight w:val="none"/>
        </w:rPr>
      </w:pPr>
    </w:p>
    <w:p w14:paraId="7D38C7C8">
      <w:pPr>
        <w:pStyle w:val="18"/>
        <w:widowControl/>
        <w:spacing w:beforeAutospacing="0" w:afterAutospacing="0" w:line="360" w:lineRule="auto"/>
        <w:rPr>
          <w:rFonts w:ascii="宋体" w:cs="Times New Roman"/>
          <w:color w:val="auto"/>
          <w:highlight w:val="none"/>
        </w:rPr>
      </w:pPr>
    </w:p>
    <w:p w14:paraId="714268F8">
      <w:pPr>
        <w:pStyle w:val="18"/>
        <w:widowControl/>
        <w:spacing w:beforeAutospacing="0" w:afterAutospacing="0" w:line="360" w:lineRule="auto"/>
        <w:rPr>
          <w:rFonts w:ascii="宋体" w:cs="Times New Roman"/>
          <w:color w:val="auto"/>
          <w:highlight w:val="none"/>
        </w:rPr>
      </w:pPr>
    </w:p>
    <w:p w14:paraId="0FCFC4B6">
      <w:pPr>
        <w:pStyle w:val="32"/>
        <w:spacing w:line="360" w:lineRule="auto"/>
        <w:rPr>
          <w:rFonts w:ascii="宋体"/>
          <w:color w:val="auto"/>
          <w:highlight w:val="none"/>
        </w:rPr>
      </w:pPr>
    </w:p>
    <w:p w14:paraId="49470EFE">
      <w:pPr>
        <w:pStyle w:val="18"/>
        <w:widowControl/>
        <w:spacing w:beforeAutospacing="0" w:afterAutospacing="0" w:line="360" w:lineRule="auto"/>
        <w:ind w:firstLine="2800" w:firstLineChars="1000"/>
        <w:jc w:val="both"/>
        <w:rPr>
          <w:rFonts w:hint="default" w:ascii="宋体" w:eastAsia="宋体" w:cs="Times New Roman"/>
          <w:color w:val="auto"/>
          <w:sz w:val="28"/>
          <w:szCs w:val="28"/>
          <w:highlight w:val="none"/>
          <w:u w:val="single"/>
          <w:lang w:val="en-US" w:eastAsia="zh-CN"/>
        </w:rPr>
      </w:pPr>
      <w:r>
        <w:rPr>
          <w:rFonts w:hint="eastAsia" w:ascii="宋体" w:hAnsi="宋体" w:cs="宋体"/>
          <w:color w:val="auto"/>
          <w:sz w:val="28"/>
          <w:szCs w:val="28"/>
          <w:highlight w:val="none"/>
        </w:rPr>
        <w:t>询比响应人：</w:t>
      </w:r>
      <w:r>
        <w:rPr>
          <w:rFonts w:hint="eastAsia" w:ascii="宋体" w:hAnsi="宋体" w:cs="宋体"/>
          <w:color w:val="auto"/>
          <w:sz w:val="28"/>
          <w:szCs w:val="28"/>
          <w:highlight w:val="none"/>
          <w:u w:val="single"/>
          <w:lang w:val="en-US" w:eastAsia="zh-CN"/>
        </w:rPr>
        <w:t xml:space="preserve">                 </w:t>
      </w:r>
    </w:p>
    <w:p w14:paraId="5491A15F">
      <w:pPr>
        <w:spacing w:line="360" w:lineRule="auto"/>
        <w:jc w:val="center"/>
        <w:rPr>
          <w:rFonts w:ascii="宋体" w:cs="Times New Roman"/>
          <w:color w:val="auto"/>
          <w:sz w:val="28"/>
          <w:szCs w:val="28"/>
          <w:highlight w:val="none"/>
        </w:rPr>
      </w:pP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p>
    <w:p w14:paraId="0D2E613C">
      <w:pPr>
        <w:spacing w:line="360" w:lineRule="auto"/>
        <w:rPr>
          <w:rFonts w:ascii="宋体" w:cs="Times New Roman"/>
          <w:color w:val="auto"/>
          <w:sz w:val="28"/>
          <w:szCs w:val="28"/>
          <w:highlight w:val="none"/>
        </w:rPr>
      </w:pPr>
      <w:r>
        <w:rPr>
          <w:rFonts w:ascii="宋体" w:cs="Times New Roman"/>
          <w:color w:val="auto"/>
          <w:sz w:val="28"/>
          <w:szCs w:val="28"/>
          <w:highlight w:val="none"/>
        </w:rPr>
        <w:br w:type="page"/>
      </w:r>
    </w:p>
    <w:p w14:paraId="7249E988">
      <w:pPr>
        <w:pStyle w:val="51"/>
        <w:spacing w:line="360" w:lineRule="auto"/>
        <w:jc w:val="center"/>
        <w:rPr>
          <w:rFonts w:cs="Times New Roman"/>
          <w:color w:val="auto"/>
          <w:sz w:val="36"/>
          <w:szCs w:val="36"/>
          <w:highlight w:val="none"/>
          <w:lang w:val="en-US" w:eastAsia="zh-CN"/>
        </w:rPr>
      </w:pPr>
    </w:p>
    <w:p w14:paraId="1C89AA1B">
      <w:pPr>
        <w:pStyle w:val="3"/>
        <w:rPr>
          <w:rFonts w:ascii="宋体" w:cs="Times New Roman"/>
          <w:color w:val="auto"/>
          <w:highlight w:val="none"/>
        </w:rPr>
      </w:pPr>
      <w:bookmarkStart w:id="218" w:name="_Toc22568"/>
      <w:bookmarkStart w:id="219" w:name="_Toc20285"/>
      <w:r>
        <w:rPr>
          <w:rFonts w:hint="eastAsia" w:ascii="宋体" w:hAnsi="宋体" w:cs="宋体"/>
          <w:color w:val="auto"/>
          <w:highlight w:val="none"/>
        </w:rPr>
        <w:t>目</w:t>
      </w:r>
      <w:r>
        <w:rPr>
          <w:rFonts w:ascii="宋体" w:hAnsi="宋体" w:cs="宋体"/>
          <w:color w:val="auto"/>
          <w:highlight w:val="none"/>
        </w:rPr>
        <w:t xml:space="preserve">  </w:t>
      </w:r>
      <w:r>
        <w:rPr>
          <w:rFonts w:hint="eastAsia" w:ascii="宋体" w:hAnsi="宋体" w:cs="宋体"/>
          <w:color w:val="auto"/>
          <w:highlight w:val="none"/>
        </w:rPr>
        <w:t>录</w:t>
      </w:r>
      <w:bookmarkEnd w:id="218"/>
      <w:bookmarkEnd w:id="219"/>
    </w:p>
    <w:p w14:paraId="6EC9513E">
      <w:pPr>
        <w:pStyle w:val="51"/>
        <w:spacing w:line="360" w:lineRule="auto"/>
        <w:jc w:val="left"/>
        <w:rPr>
          <w:rFonts w:cs="Times New Roman"/>
          <w:color w:val="auto"/>
          <w:sz w:val="24"/>
          <w:szCs w:val="24"/>
          <w:highlight w:val="none"/>
        </w:rPr>
      </w:pPr>
    </w:p>
    <w:p w14:paraId="4843FF1B">
      <w:pPr>
        <w:pStyle w:val="51"/>
        <w:spacing w:line="360" w:lineRule="auto"/>
        <w:jc w:val="left"/>
        <w:rPr>
          <w:rFonts w:cs="Times New Roman"/>
          <w:color w:val="auto"/>
          <w:highlight w:val="none"/>
        </w:rPr>
      </w:pPr>
      <w:r>
        <w:rPr>
          <w:rFonts w:hint="eastAsia"/>
          <w:color w:val="auto"/>
          <w:sz w:val="24"/>
          <w:szCs w:val="24"/>
          <w:highlight w:val="none"/>
        </w:rPr>
        <w:t>一、响应函</w:t>
      </w:r>
    </w:p>
    <w:p w14:paraId="2EAD9DB6">
      <w:pPr>
        <w:pStyle w:val="51"/>
        <w:spacing w:line="360" w:lineRule="auto"/>
        <w:jc w:val="left"/>
        <w:rPr>
          <w:rFonts w:cs="Times New Roman"/>
          <w:color w:val="auto"/>
          <w:highlight w:val="none"/>
        </w:rPr>
      </w:pPr>
      <w:r>
        <w:rPr>
          <w:rFonts w:hint="eastAsia"/>
          <w:color w:val="auto"/>
          <w:sz w:val="24"/>
          <w:szCs w:val="24"/>
          <w:highlight w:val="none"/>
        </w:rPr>
        <w:t>二、授权委托书（适用于有委托代理人的情况）</w:t>
      </w:r>
    </w:p>
    <w:p w14:paraId="1BF77E31">
      <w:pPr>
        <w:pStyle w:val="51"/>
        <w:spacing w:line="360" w:lineRule="auto"/>
        <w:jc w:val="left"/>
        <w:rPr>
          <w:rFonts w:cs="Times New Roman"/>
          <w:color w:val="auto"/>
          <w:highlight w:val="none"/>
        </w:rPr>
      </w:pPr>
      <w:r>
        <w:rPr>
          <w:rFonts w:hint="eastAsia"/>
          <w:color w:val="auto"/>
          <w:sz w:val="24"/>
          <w:szCs w:val="24"/>
          <w:highlight w:val="none"/>
        </w:rPr>
        <w:t>三、联合体协议书（适用于</w:t>
      </w:r>
      <w:r>
        <w:rPr>
          <w:rFonts w:hint="eastAsia"/>
          <w:color w:val="auto"/>
          <w:sz w:val="24"/>
          <w:szCs w:val="24"/>
          <w:highlight w:val="none"/>
          <w:lang w:eastAsia="zh-CN"/>
        </w:rPr>
        <w:t>询比响应人</w:t>
      </w:r>
      <w:r>
        <w:rPr>
          <w:rFonts w:hint="eastAsia"/>
          <w:color w:val="auto"/>
          <w:sz w:val="24"/>
          <w:szCs w:val="24"/>
          <w:highlight w:val="none"/>
        </w:rPr>
        <w:t>组成联合体的情况）</w:t>
      </w:r>
    </w:p>
    <w:p w14:paraId="623E5D9F">
      <w:pPr>
        <w:pStyle w:val="51"/>
        <w:spacing w:line="360" w:lineRule="auto"/>
        <w:jc w:val="left"/>
        <w:rPr>
          <w:rFonts w:cs="Times New Roman"/>
          <w:color w:val="auto"/>
          <w:highlight w:val="none"/>
        </w:rPr>
      </w:pPr>
      <w:r>
        <w:rPr>
          <w:rFonts w:hint="eastAsia"/>
          <w:color w:val="auto"/>
          <w:sz w:val="24"/>
          <w:szCs w:val="24"/>
          <w:highlight w:val="none"/>
        </w:rPr>
        <w:t>四、响应保证金（适用于递交响应保证金的情况）</w:t>
      </w:r>
    </w:p>
    <w:p w14:paraId="1D1D56C5">
      <w:pPr>
        <w:pStyle w:val="51"/>
        <w:tabs>
          <w:tab w:val="left" w:pos="782"/>
        </w:tabs>
        <w:spacing w:line="360" w:lineRule="auto"/>
        <w:rPr>
          <w:rFonts w:cs="Times New Roman"/>
          <w:color w:val="auto"/>
          <w:highlight w:val="none"/>
        </w:rPr>
      </w:pPr>
      <w:bookmarkStart w:id="220" w:name="bookmark533"/>
      <w:r>
        <w:rPr>
          <w:rFonts w:hint="eastAsia"/>
          <w:color w:val="auto"/>
          <w:sz w:val="24"/>
          <w:szCs w:val="24"/>
          <w:highlight w:val="none"/>
        </w:rPr>
        <w:t>五</w:t>
      </w:r>
      <w:bookmarkEnd w:id="220"/>
      <w:r>
        <w:rPr>
          <w:rFonts w:hint="eastAsia"/>
          <w:color w:val="auto"/>
          <w:sz w:val="24"/>
          <w:szCs w:val="24"/>
          <w:highlight w:val="none"/>
        </w:rPr>
        <w:t>、商务和技术偏差表</w:t>
      </w:r>
    </w:p>
    <w:p w14:paraId="0F4E7345">
      <w:pPr>
        <w:pStyle w:val="51"/>
        <w:tabs>
          <w:tab w:val="left" w:pos="786"/>
        </w:tabs>
        <w:spacing w:line="360" w:lineRule="auto"/>
        <w:rPr>
          <w:rFonts w:cs="Times New Roman"/>
          <w:color w:val="auto"/>
          <w:highlight w:val="none"/>
        </w:rPr>
      </w:pPr>
      <w:bookmarkStart w:id="221" w:name="bookmark536"/>
      <w:r>
        <w:rPr>
          <w:rFonts w:hint="eastAsia"/>
          <w:color w:val="auto"/>
          <w:sz w:val="24"/>
          <w:szCs w:val="24"/>
          <w:highlight w:val="none"/>
        </w:rPr>
        <w:t>六</w:t>
      </w:r>
      <w:bookmarkEnd w:id="221"/>
      <w:r>
        <w:rPr>
          <w:rFonts w:hint="eastAsia"/>
          <w:color w:val="auto"/>
          <w:sz w:val="24"/>
          <w:szCs w:val="24"/>
          <w:highlight w:val="none"/>
        </w:rPr>
        <w:t>、报价表</w:t>
      </w:r>
      <w:r>
        <w:rPr>
          <w:rFonts w:hint="eastAsia"/>
          <w:color w:val="auto"/>
          <w:sz w:val="24"/>
          <w:szCs w:val="24"/>
          <w:highlight w:val="none"/>
          <w:lang w:val="en-US" w:eastAsia="zh-CN"/>
        </w:rPr>
        <w:t>（</w:t>
      </w:r>
      <w:r>
        <w:rPr>
          <w:color w:val="auto"/>
          <w:sz w:val="24"/>
          <w:szCs w:val="24"/>
          <w:highlight w:val="none"/>
          <w:lang w:val="en-US" w:eastAsia="zh-CN"/>
        </w:rPr>
        <w:t>C</w:t>
      </w:r>
      <w:r>
        <w:rPr>
          <w:rFonts w:hint="eastAsia"/>
          <w:color w:val="auto"/>
          <w:sz w:val="24"/>
          <w:szCs w:val="24"/>
          <w:highlight w:val="none"/>
          <w:lang w:val="en-US" w:eastAsia="zh-CN"/>
        </w:rPr>
        <w:t>）</w:t>
      </w:r>
    </w:p>
    <w:p w14:paraId="6FAB11A9">
      <w:pPr>
        <w:pStyle w:val="51"/>
        <w:tabs>
          <w:tab w:val="left" w:pos="786"/>
        </w:tabs>
        <w:spacing w:line="360" w:lineRule="auto"/>
        <w:rPr>
          <w:rFonts w:cs="Times New Roman"/>
          <w:color w:val="auto"/>
          <w:highlight w:val="none"/>
        </w:rPr>
      </w:pPr>
      <w:bookmarkStart w:id="222" w:name="bookmark539"/>
      <w:r>
        <w:rPr>
          <w:rFonts w:hint="eastAsia"/>
          <w:color w:val="auto"/>
          <w:sz w:val="24"/>
          <w:szCs w:val="24"/>
          <w:highlight w:val="none"/>
        </w:rPr>
        <w:t>七</w:t>
      </w:r>
      <w:bookmarkEnd w:id="222"/>
      <w:r>
        <w:rPr>
          <w:rFonts w:hint="eastAsia"/>
          <w:color w:val="auto"/>
          <w:sz w:val="24"/>
          <w:szCs w:val="24"/>
          <w:highlight w:val="none"/>
        </w:rPr>
        <w:t>、资格审查资料</w:t>
      </w:r>
      <w:r>
        <w:rPr>
          <w:rFonts w:hint="eastAsia"/>
          <w:color w:val="auto"/>
          <w:sz w:val="24"/>
          <w:szCs w:val="24"/>
          <w:highlight w:val="none"/>
          <w:lang w:val="en-US" w:eastAsia="zh-CN"/>
        </w:rPr>
        <w:t>（</w:t>
      </w:r>
      <w:r>
        <w:rPr>
          <w:color w:val="auto"/>
          <w:sz w:val="24"/>
          <w:szCs w:val="24"/>
          <w:highlight w:val="none"/>
          <w:lang w:val="en-US" w:eastAsia="zh-CN"/>
        </w:rPr>
        <w:t>C</w:t>
      </w:r>
      <w:r>
        <w:rPr>
          <w:rFonts w:hint="eastAsia"/>
          <w:color w:val="auto"/>
          <w:sz w:val="24"/>
          <w:szCs w:val="24"/>
          <w:highlight w:val="none"/>
          <w:lang w:val="en-US" w:eastAsia="zh-CN"/>
        </w:rPr>
        <w:t>）</w:t>
      </w:r>
    </w:p>
    <w:p w14:paraId="2B7C03A4">
      <w:pPr>
        <w:pStyle w:val="51"/>
        <w:tabs>
          <w:tab w:val="left" w:pos="791"/>
        </w:tabs>
        <w:spacing w:line="360" w:lineRule="auto"/>
        <w:jc w:val="left"/>
        <w:rPr>
          <w:rFonts w:cs="Times New Roman"/>
          <w:color w:val="auto"/>
          <w:highlight w:val="none"/>
        </w:rPr>
      </w:pPr>
      <w:bookmarkStart w:id="223" w:name="bookmark542"/>
      <w:r>
        <w:rPr>
          <w:rFonts w:hint="eastAsia"/>
          <w:color w:val="auto"/>
          <w:sz w:val="24"/>
          <w:szCs w:val="24"/>
          <w:highlight w:val="none"/>
        </w:rPr>
        <w:t>八</w:t>
      </w:r>
      <w:bookmarkEnd w:id="223"/>
      <w:r>
        <w:rPr>
          <w:rFonts w:hint="eastAsia"/>
          <w:color w:val="auto"/>
          <w:sz w:val="24"/>
          <w:szCs w:val="24"/>
          <w:highlight w:val="none"/>
        </w:rPr>
        <w:t>、响应方案</w:t>
      </w:r>
      <w:r>
        <w:rPr>
          <w:rFonts w:hint="eastAsia"/>
          <w:color w:val="auto"/>
          <w:sz w:val="24"/>
          <w:szCs w:val="24"/>
          <w:highlight w:val="none"/>
          <w:lang w:val="en-US" w:eastAsia="zh-CN"/>
        </w:rPr>
        <w:t>（</w:t>
      </w:r>
      <w:r>
        <w:rPr>
          <w:color w:val="auto"/>
          <w:sz w:val="24"/>
          <w:szCs w:val="24"/>
          <w:highlight w:val="none"/>
          <w:lang w:val="en-US" w:eastAsia="zh-CN"/>
        </w:rPr>
        <w:t>C</w:t>
      </w:r>
      <w:r>
        <w:rPr>
          <w:rFonts w:hint="eastAsia"/>
          <w:color w:val="auto"/>
          <w:sz w:val="24"/>
          <w:szCs w:val="24"/>
          <w:highlight w:val="none"/>
          <w:lang w:val="en-US" w:eastAsia="zh-CN"/>
        </w:rPr>
        <w:t>）</w:t>
      </w:r>
    </w:p>
    <w:p w14:paraId="4E8A12C4">
      <w:pPr>
        <w:spacing w:line="360" w:lineRule="auto"/>
        <w:rPr>
          <w:rFonts w:ascii="宋体" w:cs="Times New Roman"/>
          <w:color w:val="auto"/>
          <w:sz w:val="24"/>
          <w:szCs w:val="24"/>
          <w:highlight w:val="none"/>
        </w:rPr>
      </w:pPr>
      <w:bookmarkStart w:id="224" w:name="bookmark543"/>
      <w:r>
        <w:rPr>
          <w:rFonts w:hint="eastAsia" w:ascii="宋体" w:hAnsi="宋体" w:cs="宋体"/>
          <w:color w:val="auto"/>
          <w:sz w:val="24"/>
          <w:szCs w:val="24"/>
          <w:highlight w:val="none"/>
        </w:rPr>
        <w:t>九</w:t>
      </w:r>
      <w:bookmarkEnd w:id="224"/>
      <w:r>
        <w:rPr>
          <w:rFonts w:hint="eastAsia" w:ascii="宋体" w:hAnsi="宋体" w:cs="宋体"/>
          <w:color w:val="auto"/>
          <w:sz w:val="24"/>
          <w:szCs w:val="24"/>
          <w:highlight w:val="none"/>
        </w:rPr>
        <w:t>、其他资料</w:t>
      </w:r>
    </w:p>
    <w:p w14:paraId="271879A4">
      <w:pPr>
        <w:spacing w:line="360" w:lineRule="auto"/>
        <w:rPr>
          <w:rFonts w:ascii="宋体" w:cs="Times New Roman"/>
          <w:color w:val="auto"/>
          <w:sz w:val="36"/>
          <w:szCs w:val="36"/>
          <w:highlight w:val="none"/>
        </w:rPr>
      </w:pPr>
      <w:r>
        <w:rPr>
          <w:rFonts w:ascii="宋体" w:cs="Times New Roman"/>
          <w:color w:val="auto"/>
          <w:sz w:val="24"/>
          <w:szCs w:val="24"/>
          <w:highlight w:val="none"/>
        </w:rPr>
        <w:br w:type="page"/>
      </w:r>
    </w:p>
    <w:p w14:paraId="7A3FFB20">
      <w:pPr>
        <w:pStyle w:val="4"/>
        <w:rPr>
          <w:rFonts w:ascii="宋体" w:cs="Times New Roman"/>
          <w:color w:val="auto"/>
          <w:highlight w:val="none"/>
          <w:u w:val="single"/>
        </w:rPr>
      </w:pPr>
      <w:bookmarkStart w:id="225" w:name="_Toc28756"/>
      <w:r>
        <w:rPr>
          <w:rFonts w:ascii="宋体" w:hAnsi="宋体" w:cs="宋体"/>
          <w:color w:val="auto"/>
          <w:highlight w:val="none"/>
        </w:rPr>
        <w:t>—</w:t>
      </w:r>
      <w:r>
        <w:rPr>
          <w:rFonts w:hint="eastAsia" w:ascii="宋体" w:hAnsi="宋体" w:cs="宋体"/>
          <w:color w:val="auto"/>
          <w:highlight w:val="none"/>
        </w:rPr>
        <w:t>、响应函</w:t>
      </w:r>
      <w:bookmarkEnd w:id="225"/>
    </w:p>
    <w:p w14:paraId="119E9341">
      <w:pPr>
        <w:pStyle w:val="51"/>
        <w:tabs>
          <w:tab w:val="left" w:leader="underscore" w:pos="1829"/>
        </w:tabs>
        <w:spacing w:line="360" w:lineRule="auto"/>
        <w:rPr>
          <w:rFonts w:cs="Times New Roman"/>
          <w:color w:val="auto"/>
          <w:highlight w:val="none"/>
        </w:rPr>
      </w:pPr>
      <w:r>
        <w:rPr>
          <w:color w:val="auto"/>
          <w:sz w:val="24"/>
          <w:szCs w:val="24"/>
          <w:highlight w:val="none"/>
          <w:u w:val="single"/>
        </w:rPr>
        <w:t>(</w:t>
      </w:r>
      <w:r>
        <w:rPr>
          <w:rFonts w:hint="eastAsia"/>
          <w:color w:val="auto"/>
          <w:sz w:val="24"/>
          <w:szCs w:val="24"/>
          <w:highlight w:val="none"/>
          <w:u w:val="single"/>
          <w:lang w:val="en-US" w:eastAsia="zh-CN"/>
        </w:rPr>
        <w:t>招标人</w:t>
      </w:r>
      <w:r>
        <w:rPr>
          <w:rFonts w:hint="eastAsia"/>
          <w:color w:val="auto"/>
          <w:sz w:val="24"/>
          <w:szCs w:val="24"/>
          <w:highlight w:val="none"/>
          <w:u w:val="single"/>
        </w:rPr>
        <w:t>名称</w:t>
      </w:r>
      <w:r>
        <w:rPr>
          <w:color w:val="auto"/>
          <w:sz w:val="24"/>
          <w:szCs w:val="24"/>
          <w:highlight w:val="none"/>
          <w:u w:val="single"/>
        </w:rPr>
        <w:t>):</w:t>
      </w:r>
    </w:p>
    <w:p w14:paraId="3C0C4B35">
      <w:pPr>
        <w:pStyle w:val="51"/>
        <w:numPr>
          <w:ilvl w:val="0"/>
          <w:numId w:val="7"/>
        </w:numPr>
        <w:tabs>
          <w:tab w:val="left" w:pos="913"/>
          <w:tab w:val="left" w:pos="1925"/>
          <w:tab w:val="left" w:pos="4613"/>
          <w:tab w:val="left" w:pos="4814"/>
          <w:tab w:val="left" w:pos="5035"/>
          <w:tab w:val="left" w:pos="6763"/>
        </w:tabs>
        <w:spacing w:line="360" w:lineRule="auto"/>
        <w:ind w:firstLine="480"/>
        <w:jc w:val="left"/>
        <w:rPr>
          <w:rFonts w:cs="Times New Roman"/>
          <w:color w:val="auto"/>
          <w:highlight w:val="none"/>
        </w:rPr>
      </w:pPr>
      <w:bookmarkStart w:id="226" w:name="bookmark547"/>
      <w:bookmarkEnd w:id="226"/>
      <w:r>
        <w:rPr>
          <w:rFonts w:hint="eastAsia"/>
          <w:color w:val="auto"/>
          <w:sz w:val="24"/>
          <w:szCs w:val="24"/>
          <w:highlight w:val="none"/>
        </w:rPr>
        <w:t>我方已仔细研究了</w:t>
      </w:r>
      <w:r>
        <w:rPr>
          <w:color w:val="auto"/>
          <w:sz w:val="24"/>
          <w:szCs w:val="24"/>
          <w:highlight w:val="none"/>
          <w:u w:val="single"/>
        </w:rPr>
        <w:t>(</w:t>
      </w:r>
      <w:r>
        <w:rPr>
          <w:rFonts w:hint="eastAsia"/>
          <w:color w:val="auto"/>
          <w:sz w:val="24"/>
          <w:szCs w:val="24"/>
          <w:highlight w:val="none"/>
          <w:u w:val="single"/>
        </w:rPr>
        <w:t>项目名称</w:t>
      </w:r>
      <w:r>
        <w:rPr>
          <w:rFonts w:hint="eastAsia"/>
          <w:color w:val="auto"/>
          <w:sz w:val="24"/>
          <w:szCs w:val="24"/>
          <w:highlight w:val="none"/>
          <w:u w:val="single"/>
          <w:lang w:eastAsia="zh-CN"/>
        </w:rPr>
        <w:t>：青海民族大学东序校区清香餐厅引入社会餐饮企业经营采购项目</w:t>
      </w:r>
      <w:r>
        <w:rPr>
          <w:color w:val="auto"/>
          <w:sz w:val="24"/>
          <w:szCs w:val="24"/>
          <w:highlight w:val="none"/>
          <w:u w:val="single"/>
        </w:rPr>
        <w:t>)</w:t>
      </w:r>
      <w:r>
        <w:rPr>
          <w:rFonts w:hint="eastAsia"/>
          <w:color w:val="auto"/>
          <w:sz w:val="24"/>
          <w:szCs w:val="24"/>
          <w:highlight w:val="none"/>
        </w:rPr>
        <w:t>采购文件的全部内容</w:t>
      </w:r>
      <w:r>
        <w:rPr>
          <w:rFonts w:hint="eastAsia"/>
          <w:color w:val="auto"/>
          <w:sz w:val="24"/>
          <w:szCs w:val="24"/>
          <w:highlight w:val="none"/>
          <w:lang w:val="en-US" w:eastAsia="zh-CN"/>
        </w:rPr>
        <w:t>并</w:t>
      </w:r>
      <w:r>
        <w:rPr>
          <w:rFonts w:hint="eastAsia"/>
          <w:color w:val="auto"/>
          <w:sz w:val="24"/>
          <w:szCs w:val="24"/>
          <w:highlight w:val="none"/>
        </w:rPr>
        <w:t>完成本项目服务，并按合同约定履行义务。</w:t>
      </w:r>
    </w:p>
    <w:p w14:paraId="4AACC9E7">
      <w:pPr>
        <w:pStyle w:val="51"/>
        <w:numPr>
          <w:ilvl w:val="0"/>
          <w:numId w:val="7"/>
        </w:numPr>
        <w:tabs>
          <w:tab w:val="left" w:pos="913"/>
          <w:tab w:val="left" w:pos="1925"/>
          <w:tab w:val="left" w:pos="4613"/>
          <w:tab w:val="left" w:pos="4814"/>
          <w:tab w:val="left" w:pos="5035"/>
          <w:tab w:val="left" w:pos="6763"/>
        </w:tabs>
        <w:spacing w:line="360" w:lineRule="auto"/>
        <w:ind w:firstLine="480"/>
        <w:rPr>
          <w:rFonts w:cs="Times New Roman"/>
          <w:color w:val="auto"/>
          <w:sz w:val="24"/>
          <w:szCs w:val="24"/>
          <w:highlight w:val="none"/>
        </w:rPr>
      </w:pPr>
      <w:bookmarkStart w:id="227" w:name="bookmark548"/>
      <w:bookmarkEnd w:id="227"/>
      <w:r>
        <w:rPr>
          <w:rFonts w:hint="eastAsia"/>
          <w:color w:val="auto"/>
          <w:sz w:val="24"/>
          <w:szCs w:val="24"/>
          <w:highlight w:val="none"/>
          <w:lang w:eastAsia="zh-CN"/>
        </w:rPr>
        <w:t>服务期：</w:t>
      </w:r>
      <w:r>
        <w:rPr>
          <w:color w:val="auto"/>
          <w:sz w:val="24"/>
          <w:szCs w:val="24"/>
          <w:highlight w:val="none"/>
          <w:u w:val="single"/>
          <w:lang w:val="en-US" w:eastAsia="zh-CN"/>
        </w:rPr>
        <w:t xml:space="preserve"> </w:t>
      </w:r>
      <w:r>
        <w:rPr>
          <w:rFonts w:hint="eastAsia"/>
          <w:color w:val="auto"/>
          <w:sz w:val="24"/>
          <w:szCs w:val="24"/>
          <w:highlight w:val="none"/>
          <w:u w:val="single"/>
          <w:lang w:val="en-US" w:eastAsia="zh-CN"/>
        </w:rPr>
        <w:t xml:space="preserve">                          ；</w:t>
      </w:r>
    </w:p>
    <w:p w14:paraId="351F7D33">
      <w:pPr>
        <w:pStyle w:val="51"/>
        <w:numPr>
          <w:ilvl w:val="0"/>
          <w:numId w:val="7"/>
        </w:numPr>
        <w:tabs>
          <w:tab w:val="left" w:pos="913"/>
        </w:tabs>
        <w:spacing w:line="360" w:lineRule="auto"/>
        <w:ind w:firstLine="480"/>
        <w:rPr>
          <w:rFonts w:cs="Times New Roman"/>
          <w:color w:val="auto"/>
          <w:highlight w:val="none"/>
        </w:rPr>
      </w:pPr>
      <w:r>
        <w:rPr>
          <w:rFonts w:hint="eastAsia"/>
          <w:color w:val="auto"/>
          <w:sz w:val="24"/>
          <w:szCs w:val="24"/>
          <w:highlight w:val="none"/>
        </w:rPr>
        <w:t>我方的响应文件包括下列内容：</w:t>
      </w:r>
    </w:p>
    <w:p w14:paraId="6EE7139B">
      <w:pPr>
        <w:pStyle w:val="51"/>
        <w:numPr>
          <w:ilvl w:val="0"/>
          <w:numId w:val="8"/>
        </w:numPr>
        <w:tabs>
          <w:tab w:val="left" w:pos="1006"/>
        </w:tabs>
        <w:spacing w:line="360" w:lineRule="auto"/>
        <w:ind w:firstLine="480"/>
        <w:rPr>
          <w:rFonts w:cs="Times New Roman"/>
          <w:color w:val="auto"/>
          <w:highlight w:val="none"/>
        </w:rPr>
      </w:pPr>
      <w:bookmarkStart w:id="228" w:name="bookmark549"/>
      <w:bookmarkEnd w:id="228"/>
      <w:r>
        <w:rPr>
          <w:rFonts w:hint="eastAsia"/>
          <w:color w:val="auto"/>
          <w:sz w:val="24"/>
          <w:szCs w:val="24"/>
          <w:highlight w:val="none"/>
        </w:rPr>
        <w:t>响应函；</w:t>
      </w:r>
    </w:p>
    <w:p w14:paraId="204227D1">
      <w:pPr>
        <w:pStyle w:val="51"/>
        <w:numPr>
          <w:ilvl w:val="0"/>
          <w:numId w:val="8"/>
        </w:numPr>
        <w:tabs>
          <w:tab w:val="left" w:pos="1006"/>
        </w:tabs>
        <w:spacing w:line="360" w:lineRule="auto"/>
        <w:ind w:firstLine="480"/>
        <w:rPr>
          <w:rFonts w:cs="Times New Roman"/>
          <w:color w:val="auto"/>
          <w:highlight w:val="none"/>
        </w:rPr>
      </w:pPr>
      <w:bookmarkStart w:id="229" w:name="bookmark550"/>
      <w:bookmarkEnd w:id="229"/>
      <w:r>
        <w:rPr>
          <w:rFonts w:hint="eastAsia"/>
          <w:color w:val="auto"/>
          <w:sz w:val="24"/>
          <w:szCs w:val="24"/>
          <w:highlight w:val="none"/>
        </w:rPr>
        <w:t>授权委托书</w:t>
      </w:r>
      <w:r>
        <w:rPr>
          <w:color w:val="auto"/>
          <w:sz w:val="24"/>
          <w:szCs w:val="24"/>
          <w:highlight w:val="none"/>
        </w:rPr>
        <w:t>(</w:t>
      </w:r>
      <w:r>
        <w:rPr>
          <w:rFonts w:hint="eastAsia"/>
          <w:color w:val="auto"/>
          <w:sz w:val="24"/>
          <w:szCs w:val="24"/>
          <w:highlight w:val="none"/>
        </w:rPr>
        <w:t>如有</w:t>
      </w:r>
      <w:r>
        <w:rPr>
          <w:color w:val="auto"/>
          <w:sz w:val="24"/>
          <w:szCs w:val="24"/>
          <w:highlight w:val="none"/>
        </w:rPr>
        <w:t>)</w:t>
      </w:r>
      <w:r>
        <w:rPr>
          <w:rFonts w:hint="eastAsia"/>
          <w:color w:val="auto"/>
          <w:sz w:val="24"/>
          <w:szCs w:val="24"/>
          <w:highlight w:val="none"/>
        </w:rPr>
        <w:t>；</w:t>
      </w:r>
    </w:p>
    <w:p w14:paraId="4A9878ED">
      <w:pPr>
        <w:pStyle w:val="51"/>
        <w:numPr>
          <w:ilvl w:val="0"/>
          <w:numId w:val="8"/>
        </w:numPr>
        <w:tabs>
          <w:tab w:val="left" w:pos="1011"/>
        </w:tabs>
        <w:spacing w:line="360" w:lineRule="auto"/>
        <w:ind w:firstLine="480"/>
        <w:rPr>
          <w:rFonts w:cs="Times New Roman"/>
          <w:color w:val="auto"/>
          <w:highlight w:val="none"/>
        </w:rPr>
      </w:pPr>
      <w:bookmarkStart w:id="230" w:name="bookmark551"/>
      <w:bookmarkEnd w:id="230"/>
      <w:r>
        <w:rPr>
          <w:rFonts w:hint="eastAsia"/>
          <w:color w:val="auto"/>
          <w:sz w:val="24"/>
          <w:szCs w:val="24"/>
          <w:highlight w:val="none"/>
        </w:rPr>
        <w:t>联合体协议书</w:t>
      </w:r>
      <w:r>
        <w:rPr>
          <w:color w:val="auto"/>
          <w:sz w:val="24"/>
          <w:szCs w:val="24"/>
          <w:highlight w:val="none"/>
        </w:rPr>
        <w:t>(</w:t>
      </w:r>
      <w:r>
        <w:rPr>
          <w:rFonts w:hint="eastAsia"/>
          <w:color w:val="auto"/>
          <w:sz w:val="24"/>
          <w:szCs w:val="24"/>
          <w:highlight w:val="none"/>
        </w:rPr>
        <w:t>如有</w:t>
      </w:r>
      <w:r>
        <w:rPr>
          <w:color w:val="auto"/>
          <w:sz w:val="24"/>
          <w:szCs w:val="24"/>
          <w:highlight w:val="none"/>
        </w:rPr>
        <w:t>)</w:t>
      </w:r>
      <w:r>
        <w:rPr>
          <w:rFonts w:hint="eastAsia"/>
          <w:color w:val="auto"/>
          <w:sz w:val="24"/>
          <w:szCs w:val="24"/>
          <w:highlight w:val="none"/>
        </w:rPr>
        <w:t>；</w:t>
      </w:r>
    </w:p>
    <w:p w14:paraId="393204B6">
      <w:pPr>
        <w:pStyle w:val="51"/>
        <w:numPr>
          <w:ilvl w:val="0"/>
          <w:numId w:val="8"/>
        </w:numPr>
        <w:tabs>
          <w:tab w:val="left" w:pos="1011"/>
        </w:tabs>
        <w:spacing w:line="360" w:lineRule="auto"/>
        <w:ind w:firstLine="480"/>
        <w:rPr>
          <w:rFonts w:cs="Times New Roman"/>
          <w:color w:val="auto"/>
          <w:highlight w:val="none"/>
        </w:rPr>
      </w:pPr>
      <w:bookmarkStart w:id="231" w:name="bookmark552"/>
      <w:bookmarkEnd w:id="231"/>
      <w:r>
        <w:rPr>
          <w:rFonts w:hint="eastAsia"/>
          <w:color w:val="auto"/>
          <w:sz w:val="24"/>
          <w:szCs w:val="24"/>
          <w:highlight w:val="none"/>
        </w:rPr>
        <w:t>响应保证金</w:t>
      </w:r>
      <w:r>
        <w:rPr>
          <w:color w:val="auto"/>
          <w:sz w:val="24"/>
          <w:szCs w:val="24"/>
          <w:highlight w:val="none"/>
        </w:rPr>
        <w:t>(</w:t>
      </w:r>
      <w:r>
        <w:rPr>
          <w:rFonts w:hint="eastAsia"/>
          <w:color w:val="auto"/>
          <w:sz w:val="24"/>
          <w:szCs w:val="24"/>
          <w:highlight w:val="none"/>
        </w:rPr>
        <w:t>如有</w:t>
      </w:r>
      <w:r>
        <w:rPr>
          <w:color w:val="auto"/>
          <w:sz w:val="24"/>
          <w:szCs w:val="24"/>
          <w:highlight w:val="none"/>
        </w:rPr>
        <w:t>)</w:t>
      </w:r>
      <w:r>
        <w:rPr>
          <w:rFonts w:hint="eastAsia"/>
          <w:color w:val="auto"/>
          <w:sz w:val="24"/>
          <w:szCs w:val="24"/>
          <w:highlight w:val="none"/>
        </w:rPr>
        <w:t>；</w:t>
      </w:r>
    </w:p>
    <w:p w14:paraId="64888E7E">
      <w:pPr>
        <w:pStyle w:val="51"/>
        <w:numPr>
          <w:ilvl w:val="0"/>
          <w:numId w:val="8"/>
        </w:numPr>
        <w:tabs>
          <w:tab w:val="left" w:pos="1011"/>
        </w:tabs>
        <w:spacing w:line="360" w:lineRule="auto"/>
        <w:ind w:firstLine="480"/>
        <w:rPr>
          <w:rFonts w:cs="Times New Roman"/>
          <w:color w:val="auto"/>
          <w:highlight w:val="none"/>
        </w:rPr>
      </w:pPr>
      <w:bookmarkStart w:id="232" w:name="bookmark553"/>
      <w:bookmarkEnd w:id="232"/>
      <w:r>
        <w:rPr>
          <w:rFonts w:hint="eastAsia"/>
          <w:color w:val="auto"/>
          <w:sz w:val="24"/>
          <w:szCs w:val="24"/>
          <w:highlight w:val="none"/>
        </w:rPr>
        <w:t>商务和技术偏差表；</w:t>
      </w:r>
    </w:p>
    <w:p w14:paraId="20CEA97B">
      <w:pPr>
        <w:pStyle w:val="51"/>
        <w:numPr>
          <w:ilvl w:val="0"/>
          <w:numId w:val="8"/>
        </w:numPr>
        <w:tabs>
          <w:tab w:val="left" w:pos="1011"/>
        </w:tabs>
        <w:spacing w:line="360" w:lineRule="auto"/>
        <w:ind w:firstLine="480"/>
        <w:rPr>
          <w:rFonts w:cs="Times New Roman"/>
          <w:color w:val="auto"/>
          <w:highlight w:val="none"/>
        </w:rPr>
      </w:pPr>
      <w:bookmarkStart w:id="233" w:name="bookmark554"/>
      <w:bookmarkEnd w:id="233"/>
      <w:r>
        <w:rPr>
          <w:rFonts w:hint="eastAsia"/>
          <w:color w:val="auto"/>
          <w:sz w:val="24"/>
          <w:szCs w:val="24"/>
          <w:highlight w:val="none"/>
          <w:lang w:val="en-US" w:eastAsia="zh-CN"/>
        </w:rPr>
        <w:t>服务响应表</w:t>
      </w:r>
      <w:r>
        <w:rPr>
          <w:rFonts w:hint="eastAsia"/>
          <w:color w:val="auto"/>
          <w:sz w:val="24"/>
          <w:szCs w:val="24"/>
          <w:highlight w:val="none"/>
        </w:rPr>
        <w:t>；</w:t>
      </w:r>
    </w:p>
    <w:p w14:paraId="5064A00F">
      <w:pPr>
        <w:pStyle w:val="51"/>
        <w:numPr>
          <w:ilvl w:val="0"/>
          <w:numId w:val="8"/>
        </w:numPr>
        <w:tabs>
          <w:tab w:val="left" w:pos="1011"/>
        </w:tabs>
        <w:spacing w:line="360" w:lineRule="auto"/>
        <w:ind w:firstLine="480"/>
        <w:rPr>
          <w:rFonts w:cs="Times New Roman"/>
          <w:color w:val="auto"/>
          <w:highlight w:val="none"/>
        </w:rPr>
      </w:pPr>
      <w:bookmarkStart w:id="234" w:name="bookmark555"/>
      <w:bookmarkEnd w:id="234"/>
      <w:r>
        <w:rPr>
          <w:rFonts w:hint="eastAsia"/>
          <w:color w:val="auto"/>
          <w:sz w:val="24"/>
          <w:szCs w:val="24"/>
          <w:highlight w:val="none"/>
        </w:rPr>
        <w:t>资格审查资料；</w:t>
      </w:r>
    </w:p>
    <w:p w14:paraId="6BAEFFFB">
      <w:pPr>
        <w:pStyle w:val="51"/>
        <w:numPr>
          <w:ilvl w:val="0"/>
          <w:numId w:val="8"/>
        </w:numPr>
        <w:tabs>
          <w:tab w:val="left" w:pos="1011"/>
        </w:tabs>
        <w:spacing w:line="360" w:lineRule="auto"/>
        <w:ind w:firstLine="480"/>
        <w:rPr>
          <w:rFonts w:cs="Times New Roman"/>
          <w:color w:val="auto"/>
          <w:highlight w:val="none"/>
        </w:rPr>
      </w:pPr>
      <w:bookmarkStart w:id="235" w:name="bookmark556"/>
      <w:bookmarkEnd w:id="235"/>
      <w:r>
        <w:rPr>
          <w:rFonts w:hint="eastAsia"/>
          <w:color w:val="auto"/>
          <w:sz w:val="24"/>
          <w:szCs w:val="24"/>
          <w:highlight w:val="none"/>
        </w:rPr>
        <w:t>响应方案；</w:t>
      </w:r>
    </w:p>
    <w:p w14:paraId="5FDF9FD1">
      <w:pPr>
        <w:pStyle w:val="51"/>
        <w:spacing w:line="360" w:lineRule="auto"/>
        <w:ind w:firstLine="460"/>
        <w:jc w:val="left"/>
        <w:rPr>
          <w:rFonts w:cs="Times New Roman"/>
          <w:color w:val="auto"/>
          <w:highlight w:val="none"/>
        </w:rPr>
      </w:pPr>
      <w:r>
        <w:rPr>
          <w:rFonts w:hint="eastAsia"/>
          <w:color w:val="auto"/>
          <w:sz w:val="24"/>
          <w:szCs w:val="24"/>
          <w:highlight w:val="none"/>
        </w:rPr>
        <w:t>响应文件的上述组成部分如存在内容不一致的，以响应函为准。</w:t>
      </w:r>
    </w:p>
    <w:p w14:paraId="68411A74">
      <w:pPr>
        <w:pStyle w:val="51"/>
        <w:numPr>
          <w:ilvl w:val="0"/>
          <w:numId w:val="7"/>
        </w:numPr>
        <w:tabs>
          <w:tab w:val="left" w:pos="913"/>
        </w:tabs>
        <w:spacing w:line="360" w:lineRule="auto"/>
        <w:ind w:firstLine="460"/>
        <w:jc w:val="left"/>
        <w:rPr>
          <w:rFonts w:cs="Times New Roman"/>
          <w:color w:val="auto"/>
          <w:highlight w:val="none"/>
        </w:rPr>
      </w:pPr>
      <w:bookmarkStart w:id="236" w:name="bookmark557"/>
      <w:bookmarkEnd w:id="236"/>
      <w:r>
        <w:rPr>
          <w:rFonts w:hint="eastAsia"/>
          <w:color w:val="auto"/>
          <w:sz w:val="24"/>
          <w:szCs w:val="24"/>
          <w:highlight w:val="none"/>
        </w:rPr>
        <w:t>我方承诺除商务和技术偏差表列出的偏差外，我方响应采购文件的全部要求。</w:t>
      </w:r>
    </w:p>
    <w:p w14:paraId="6DB6A40D">
      <w:pPr>
        <w:pStyle w:val="51"/>
        <w:numPr>
          <w:ilvl w:val="0"/>
          <w:numId w:val="7"/>
        </w:numPr>
        <w:tabs>
          <w:tab w:val="left" w:pos="913"/>
        </w:tabs>
        <w:spacing w:line="360" w:lineRule="auto"/>
        <w:ind w:firstLine="460"/>
        <w:rPr>
          <w:rFonts w:cs="Times New Roman"/>
          <w:color w:val="auto"/>
          <w:highlight w:val="none"/>
        </w:rPr>
      </w:pPr>
      <w:bookmarkStart w:id="237" w:name="bookmark558"/>
      <w:bookmarkEnd w:id="237"/>
      <w:r>
        <w:rPr>
          <w:rFonts w:hint="eastAsia"/>
          <w:color w:val="auto"/>
          <w:sz w:val="24"/>
          <w:szCs w:val="24"/>
          <w:highlight w:val="none"/>
        </w:rPr>
        <w:t>我方承诺在采购文件规定的响应文件有效期内不撤销响应文件。</w:t>
      </w:r>
    </w:p>
    <w:p w14:paraId="66D7B299">
      <w:pPr>
        <w:pStyle w:val="51"/>
        <w:numPr>
          <w:ilvl w:val="0"/>
          <w:numId w:val="7"/>
        </w:numPr>
        <w:tabs>
          <w:tab w:val="left" w:pos="913"/>
        </w:tabs>
        <w:spacing w:line="360" w:lineRule="auto"/>
        <w:ind w:firstLine="460"/>
        <w:rPr>
          <w:rFonts w:cs="Times New Roman"/>
          <w:color w:val="auto"/>
          <w:highlight w:val="none"/>
        </w:rPr>
      </w:pPr>
      <w:bookmarkStart w:id="238" w:name="bookmark559"/>
      <w:bookmarkEnd w:id="238"/>
      <w:r>
        <w:rPr>
          <w:rFonts w:hint="eastAsia"/>
          <w:color w:val="auto"/>
          <w:sz w:val="24"/>
          <w:szCs w:val="24"/>
          <w:highlight w:val="none"/>
        </w:rPr>
        <w:t>如我方成交，我方承诺：</w:t>
      </w:r>
    </w:p>
    <w:p w14:paraId="5935DF86">
      <w:pPr>
        <w:pStyle w:val="51"/>
        <w:numPr>
          <w:ilvl w:val="0"/>
          <w:numId w:val="9"/>
        </w:numPr>
        <w:tabs>
          <w:tab w:val="left" w:pos="986"/>
        </w:tabs>
        <w:spacing w:line="360" w:lineRule="auto"/>
        <w:ind w:firstLine="460"/>
        <w:rPr>
          <w:rFonts w:cs="Times New Roman"/>
          <w:color w:val="auto"/>
          <w:highlight w:val="none"/>
        </w:rPr>
      </w:pPr>
      <w:bookmarkStart w:id="239" w:name="bookmark560"/>
      <w:bookmarkEnd w:id="239"/>
      <w:r>
        <w:rPr>
          <w:rFonts w:hint="eastAsia"/>
          <w:color w:val="auto"/>
          <w:sz w:val="24"/>
          <w:szCs w:val="24"/>
          <w:highlight w:val="none"/>
        </w:rPr>
        <w:t>在收到成交通知书后，在成交通知书规定的期限内与你方签订合同；</w:t>
      </w:r>
    </w:p>
    <w:p w14:paraId="4A8C1005">
      <w:pPr>
        <w:pStyle w:val="51"/>
        <w:numPr>
          <w:ilvl w:val="0"/>
          <w:numId w:val="9"/>
        </w:numPr>
        <w:tabs>
          <w:tab w:val="left" w:pos="991"/>
        </w:tabs>
        <w:spacing w:line="360" w:lineRule="auto"/>
        <w:ind w:firstLine="460"/>
        <w:rPr>
          <w:rFonts w:cs="Times New Roman"/>
          <w:color w:val="auto"/>
          <w:highlight w:val="none"/>
        </w:rPr>
      </w:pPr>
      <w:bookmarkStart w:id="240" w:name="bookmark561"/>
      <w:bookmarkEnd w:id="240"/>
      <w:r>
        <w:rPr>
          <w:rFonts w:hint="eastAsia"/>
          <w:color w:val="auto"/>
          <w:sz w:val="24"/>
          <w:szCs w:val="24"/>
          <w:highlight w:val="none"/>
        </w:rPr>
        <w:t>在签订合同时不向你方提出附加条件；</w:t>
      </w:r>
    </w:p>
    <w:p w14:paraId="20C12D66">
      <w:pPr>
        <w:pStyle w:val="51"/>
        <w:numPr>
          <w:ilvl w:val="0"/>
          <w:numId w:val="9"/>
        </w:numPr>
        <w:tabs>
          <w:tab w:val="left" w:pos="991"/>
        </w:tabs>
        <w:spacing w:line="360" w:lineRule="auto"/>
        <w:ind w:firstLine="460"/>
        <w:rPr>
          <w:rFonts w:cs="Times New Roman"/>
          <w:color w:val="auto"/>
          <w:highlight w:val="none"/>
        </w:rPr>
      </w:pPr>
      <w:bookmarkStart w:id="241" w:name="bookmark562"/>
      <w:bookmarkEnd w:id="241"/>
      <w:r>
        <w:rPr>
          <w:rFonts w:hint="eastAsia"/>
          <w:color w:val="auto"/>
          <w:sz w:val="24"/>
          <w:szCs w:val="24"/>
          <w:highlight w:val="none"/>
        </w:rPr>
        <w:t>按照采购文件要求递交履约保证金；</w:t>
      </w:r>
    </w:p>
    <w:p w14:paraId="2E35A328">
      <w:pPr>
        <w:pStyle w:val="51"/>
        <w:numPr>
          <w:ilvl w:val="0"/>
          <w:numId w:val="9"/>
        </w:numPr>
        <w:tabs>
          <w:tab w:val="left" w:pos="991"/>
        </w:tabs>
        <w:spacing w:line="360" w:lineRule="auto"/>
        <w:ind w:firstLine="460"/>
        <w:rPr>
          <w:rFonts w:cs="Times New Roman"/>
          <w:color w:val="auto"/>
          <w:highlight w:val="none"/>
        </w:rPr>
      </w:pPr>
      <w:bookmarkStart w:id="242" w:name="bookmark563"/>
      <w:bookmarkEnd w:id="242"/>
      <w:r>
        <w:rPr>
          <w:rFonts w:hint="eastAsia"/>
          <w:color w:val="auto"/>
          <w:sz w:val="24"/>
          <w:szCs w:val="24"/>
          <w:highlight w:val="none"/>
        </w:rPr>
        <w:t>在合同约定的期限内完成合同规定的全部义务。</w:t>
      </w:r>
    </w:p>
    <w:p w14:paraId="28CA2C02">
      <w:pPr>
        <w:pStyle w:val="51"/>
        <w:numPr>
          <w:ilvl w:val="0"/>
          <w:numId w:val="7"/>
        </w:numPr>
        <w:tabs>
          <w:tab w:val="left" w:pos="913"/>
        </w:tabs>
        <w:spacing w:line="360" w:lineRule="auto"/>
        <w:ind w:firstLine="480"/>
        <w:rPr>
          <w:rFonts w:cs="Times New Roman"/>
          <w:color w:val="auto"/>
          <w:highlight w:val="none"/>
        </w:rPr>
      </w:pPr>
      <w:bookmarkStart w:id="243" w:name="bookmark564"/>
      <w:bookmarkEnd w:id="243"/>
      <w:r>
        <w:rPr>
          <w:rFonts w:hint="eastAsia"/>
          <w:color w:val="auto"/>
          <w:sz w:val="24"/>
          <w:szCs w:val="24"/>
          <w:highlight w:val="none"/>
        </w:rPr>
        <w:t>我方在此声明，所递交的响应文件及有关资料内容完整、真实和准确，且不存</w:t>
      </w:r>
      <w:r>
        <w:rPr>
          <w:color w:val="auto"/>
          <w:sz w:val="24"/>
          <w:szCs w:val="24"/>
          <w:highlight w:val="none"/>
        </w:rPr>
        <w:t xml:space="preserve"> </w:t>
      </w:r>
      <w:r>
        <w:rPr>
          <w:rFonts w:hint="eastAsia"/>
          <w:color w:val="auto"/>
          <w:sz w:val="24"/>
          <w:szCs w:val="24"/>
          <w:highlight w:val="none"/>
        </w:rPr>
        <w:t>在第一章</w:t>
      </w:r>
      <w:r>
        <w:rPr>
          <w:rFonts w:hint="eastAsia"/>
          <w:color w:val="auto"/>
          <w:sz w:val="24"/>
          <w:szCs w:val="24"/>
          <w:highlight w:val="none"/>
          <w:lang w:val="zh-CN" w:eastAsia="zh-CN"/>
        </w:rPr>
        <w:t>“询比</w:t>
      </w:r>
      <w:r>
        <w:rPr>
          <w:rFonts w:hint="eastAsia"/>
          <w:color w:val="auto"/>
          <w:sz w:val="24"/>
          <w:szCs w:val="24"/>
          <w:highlight w:val="none"/>
        </w:rPr>
        <w:t>采购公告</w:t>
      </w:r>
      <w:r>
        <w:rPr>
          <w:color w:val="auto"/>
          <w:sz w:val="24"/>
          <w:szCs w:val="24"/>
          <w:highlight w:val="none"/>
        </w:rPr>
        <w:t>/</w:t>
      </w:r>
      <w:r>
        <w:rPr>
          <w:rFonts w:hint="eastAsia"/>
          <w:color w:val="auto"/>
          <w:sz w:val="24"/>
          <w:szCs w:val="24"/>
          <w:highlight w:val="none"/>
          <w:lang w:eastAsia="zh-CN"/>
        </w:rPr>
        <w:t>询比</w:t>
      </w:r>
      <w:r>
        <w:rPr>
          <w:rFonts w:hint="eastAsia"/>
          <w:color w:val="auto"/>
          <w:sz w:val="24"/>
          <w:szCs w:val="24"/>
          <w:highlight w:val="none"/>
        </w:rPr>
        <w:t>采购邀请书”中规定的</w:t>
      </w:r>
      <w:r>
        <w:rPr>
          <w:rFonts w:hint="eastAsia"/>
          <w:color w:val="auto"/>
          <w:sz w:val="24"/>
          <w:szCs w:val="24"/>
          <w:highlight w:val="none"/>
          <w:lang w:eastAsia="zh-CN"/>
        </w:rPr>
        <w:t>询比响应人</w:t>
      </w:r>
      <w:r>
        <w:rPr>
          <w:rFonts w:hint="eastAsia"/>
          <w:color w:val="auto"/>
          <w:sz w:val="24"/>
          <w:szCs w:val="24"/>
          <w:highlight w:val="none"/>
        </w:rPr>
        <w:t>不得存在的情形。</w:t>
      </w:r>
    </w:p>
    <w:p w14:paraId="7FCDB3F6">
      <w:pPr>
        <w:pStyle w:val="47"/>
        <w:numPr>
          <w:ilvl w:val="0"/>
          <w:numId w:val="7"/>
        </w:numPr>
        <w:tabs>
          <w:tab w:val="left" w:pos="913"/>
          <w:tab w:val="left" w:leader="underscore" w:pos="3570"/>
          <w:tab w:val="left" w:pos="5265"/>
        </w:tabs>
        <w:spacing w:line="360" w:lineRule="auto"/>
        <w:ind w:firstLine="460"/>
        <w:rPr>
          <w:rFonts w:cs="Times New Roman"/>
          <w:color w:val="auto"/>
          <w:sz w:val="24"/>
          <w:szCs w:val="24"/>
          <w:highlight w:val="none"/>
        </w:rPr>
      </w:pPr>
      <w:bookmarkStart w:id="244" w:name="bookmark565"/>
      <w:bookmarkEnd w:id="244"/>
      <w:r>
        <w:rPr>
          <w:rFonts w:hint="eastAsia"/>
          <w:color w:val="auto"/>
          <w:sz w:val="24"/>
          <w:szCs w:val="24"/>
          <w:highlight w:val="none"/>
          <w:u w:val="single"/>
          <w:lang w:eastAsia="zh-CN"/>
        </w:rPr>
        <w:t>（</w:t>
      </w:r>
      <w:r>
        <w:rPr>
          <w:rFonts w:hint="eastAsia"/>
          <w:color w:val="auto"/>
          <w:sz w:val="24"/>
          <w:szCs w:val="24"/>
          <w:highlight w:val="none"/>
          <w:u w:val="single"/>
          <w:lang w:val="en-US" w:eastAsia="zh-CN"/>
        </w:rPr>
        <w:t>其他补充说明</w:t>
      </w:r>
      <w:r>
        <w:rPr>
          <w:rFonts w:hint="eastAsia"/>
          <w:color w:val="auto"/>
          <w:sz w:val="24"/>
          <w:szCs w:val="24"/>
          <w:highlight w:val="none"/>
          <w:u w:val="single"/>
          <w:lang w:eastAsia="zh-CN"/>
        </w:rPr>
        <w:t>）</w:t>
      </w:r>
      <w:r>
        <w:rPr>
          <w:rFonts w:hint="eastAsia"/>
          <w:color w:val="auto"/>
          <w:sz w:val="24"/>
          <w:szCs w:val="24"/>
          <w:highlight w:val="none"/>
          <w:lang w:eastAsia="zh-CN"/>
        </w:rPr>
        <w:t>。</w:t>
      </w:r>
    </w:p>
    <w:p w14:paraId="01050571">
      <w:pPr>
        <w:pStyle w:val="51"/>
        <w:tabs>
          <w:tab w:val="left" w:pos="7346"/>
          <w:tab w:val="left" w:pos="7826"/>
        </w:tabs>
        <w:spacing w:line="360" w:lineRule="auto"/>
        <w:ind w:firstLine="20"/>
        <w:jc w:val="center"/>
        <w:rPr>
          <w:color w:val="auto"/>
          <w:sz w:val="24"/>
          <w:szCs w:val="24"/>
          <w:highlight w:val="none"/>
          <w:u w:val="single"/>
        </w:rPr>
      </w:pPr>
      <w:r>
        <w:rPr>
          <w:rFonts w:hint="eastAsia"/>
          <w:color w:val="auto"/>
          <w:sz w:val="24"/>
          <w:szCs w:val="24"/>
          <w:highlight w:val="none"/>
          <w:lang w:val="en-US" w:eastAsia="zh-CN"/>
        </w:rPr>
        <w:t xml:space="preserve"> </w:t>
      </w:r>
      <w:r>
        <w:rPr>
          <w:rFonts w:hint="eastAsia"/>
          <w:color w:val="auto"/>
          <w:sz w:val="24"/>
          <w:szCs w:val="24"/>
          <w:highlight w:val="none"/>
          <w:lang w:eastAsia="zh-CN"/>
        </w:rPr>
        <w:t>询比响应人</w:t>
      </w:r>
      <w:r>
        <w:rPr>
          <w:rFonts w:hint="eastAsia"/>
          <w:color w:val="auto"/>
          <w:sz w:val="24"/>
          <w:szCs w:val="24"/>
          <w:highlight w:val="none"/>
        </w:rPr>
        <w:t>：</w:t>
      </w:r>
      <w:r>
        <w:rPr>
          <w:rFonts w:hint="eastAsia"/>
          <w:color w:val="auto"/>
          <w:sz w:val="24"/>
          <w:szCs w:val="24"/>
          <w:highlight w:val="none"/>
          <w:u w:val="single"/>
          <w:lang w:val="en-US" w:eastAsia="zh-CN"/>
        </w:rPr>
        <w:t xml:space="preserve">             </w:t>
      </w:r>
      <w:r>
        <w:rPr>
          <w:color w:val="auto"/>
          <w:sz w:val="24"/>
          <w:szCs w:val="24"/>
          <w:highlight w:val="none"/>
          <w:u w:val="single"/>
        </w:rPr>
        <w:t>(</w:t>
      </w:r>
      <w:r>
        <w:rPr>
          <w:rFonts w:hint="eastAsia"/>
          <w:color w:val="auto"/>
          <w:sz w:val="24"/>
          <w:szCs w:val="24"/>
          <w:highlight w:val="none"/>
          <w:u w:val="single"/>
        </w:rPr>
        <w:t>盖单位章</w:t>
      </w:r>
      <w:r>
        <w:rPr>
          <w:color w:val="auto"/>
          <w:sz w:val="24"/>
          <w:szCs w:val="24"/>
          <w:highlight w:val="none"/>
          <w:u w:val="single"/>
        </w:rPr>
        <w:t>)</w:t>
      </w:r>
    </w:p>
    <w:p w14:paraId="235B3E2F">
      <w:pPr>
        <w:pStyle w:val="51"/>
        <w:tabs>
          <w:tab w:val="left" w:pos="7346"/>
          <w:tab w:val="left" w:pos="7826"/>
        </w:tabs>
        <w:spacing w:line="360" w:lineRule="auto"/>
        <w:ind w:firstLine="20"/>
        <w:jc w:val="center"/>
        <w:rPr>
          <w:rFonts w:cs="Times New Roman"/>
          <w:color w:val="auto"/>
          <w:highlight w:val="none"/>
        </w:rPr>
      </w:pPr>
      <w:r>
        <w:rPr>
          <w:rFonts w:hint="eastAsia"/>
          <w:color w:val="auto"/>
          <w:sz w:val="24"/>
          <w:szCs w:val="24"/>
          <w:highlight w:val="none"/>
          <w:lang w:val="en-US" w:eastAsia="zh-CN"/>
        </w:rPr>
        <w:t xml:space="preserve">                       </w:t>
      </w:r>
      <w:r>
        <w:rPr>
          <w:rFonts w:hint="eastAsia"/>
          <w:color w:val="auto"/>
          <w:sz w:val="24"/>
          <w:szCs w:val="24"/>
          <w:highlight w:val="none"/>
        </w:rPr>
        <w:t>法定代表人</w:t>
      </w:r>
      <w:r>
        <w:rPr>
          <w:color w:val="auto"/>
          <w:sz w:val="24"/>
          <w:szCs w:val="24"/>
          <w:highlight w:val="none"/>
        </w:rPr>
        <w:t>(</w:t>
      </w:r>
      <w:r>
        <w:rPr>
          <w:rFonts w:hint="eastAsia"/>
          <w:color w:val="auto"/>
          <w:sz w:val="24"/>
          <w:szCs w:val="24"/>
          <w:highlight w:val="none"/>
        </w:rPr>
        <w:t>单位负责人</w:t>
      </w:r>
      <w:r>
        <w:rPr>
          <w:color w:val="auto"/>
          <w:sz w:val="24"/>
          <w:szCs w:val="24"/>
          <w:highlight w:val="none"/>
        </w:rPr>
        <w:t>)</w:t>
      </w:r>
      <w:r>
        <w:rPr>
          <w:rFonts w:hint="eastAsia"/>
          <w:color w:val="auto"/>
          <w:sz w:val="24"/>
          <w:szCs w:val="24"/>
          <w:highlight w:val="none"/>
        </w:rPr>
        <w:t>或其授权的代理人：</w:t>
      </w:r>
      <w:r>
        <w:rPr>
          <w:rFonts w:hint="eastAsia"/>
          <w:color w:val="auto"/>
          <w:sz w:val="24"/>
          <w:szCs w:val="24"/>
          <w:highlight w:val="none"/>
          <w:u w:val="single"/>
          <w:lang w:val="en-US" w:eastAsia="zh-CN"/>
        </w:rPr>
        <w:t xml:space="preserve">           </w:t>
      </w:r>
      <w:r>
        <w:rPr>
          <w:color w:val="auto"/>
          <w:sz w:val="24"/>
          <w:szCs w:val="24"/>
          <w:highlight w:val="none"/>
          <w:u w:val="single"/>
        </w:rPr>
        <w:t>(</w:t>
      </w:r>
      <w:r>
        <w:rPr>
          <w:rFonts w:hint="eastAsia"/>
          <w:color w:val="auto"/>
          <w:sz w:val="24"/>
          <w:szCs w:val="24"/>
          <w:highlight w:val="none"/>
          <w:u w:val="single"/>
        </w:rPr>
        <w:t>签字</w:t>
      </w:r>
      <w:r>
        <w:rPr>
          <w:color w:val="auto"/>
          <w:sz w:val="24"/>
          <w:szCs w:val="24"/>
          <w:highlight w:val="none"/>
          <w:u w:val="single"/>
        </w:rPr>
        <w:t>)</w:t>
      </w:r>
    </w:p>
    <w:p w14:paraId="514D4467">
      <w:pPr>
        <w:pStyle w:val="51"/>
        <w:tabs>
          <w:tab w:val="left" w:pos="8600"/>
        </w:tabs>
        <w:spacing w:line="360" w:lineRule="auto"/>
        <w:ind w:firstLine="2894" w:firstLineChars="1206"/>
        <w:jc w:val="both"/>
        <w:rPr>
          <w:rFonts w:cs="Times New Roman"/>
          <w:color w:val="auto"/>
          <w:highlight w:val="none"/>
        </w:rPr>
      </w:pPr>
      <w:r>
        <w:rPr>
          <w:rFonts w:hint="eastAsia"/>
          <w:color w:val="auto"/>
          <w:sz w:val="24"/>
          <w:szCs w:val="24"/>
          <w:highlight w:val="none"/>
        </w:rPr>
        <w:t>地</w:t>
      </w:r>
      <w:r>
        <w:rPr>
          <w:color w:val="auto"/>
          <w:sz w:val="24"/>
          <w:szCs w:val="24"/>
          <w:highlight w:val="none"/>
        </w:rPr>
        <w:t xml:space="preserve"> </w:t>
      </w:r>
      <w:r>
        <w:rPr>
          <w:rFonts w:hint="eastAsia"/>
          <w:color w:val="auto"/>
          <w:sz w:val="24"/>
          <w:szCs w:val="24"/>
          <w:highlight w:val="none"/>
        </w:rPr>
        <w:t>址：</w:t>
      </w:r>
      <w:r>
        <w:rPr>
          <w:rFonts w:hint="eastAsia"/>
          <w:color w:val="auto"/>
          <w:sz w:val="24"/>
          <w:szCs w:val="24"/>
          <w:highlight w:val="none"/>
          <w:u w:val="single"/>
          <w:lang w:val="en-US" w:eastAsia="zh-CN"/>
        </w:rPr>
        <w:t xml:space="preserve">                                             </w:t>
      </w:r>
    </w:p>
    <w:p w14:paraId="05B3A97C">
      <w:pPr>
        <w:pStyle w:val="51"/>
        <w:tabs>
          <w:tab w:val="left" w:pos="6725"/>
          <w:tab w:val="left" w:pos="6950"/>
        </w:tabs>
        <w:spacing w:line="360" w:lineRule="auto"/>
        <w:ind w:firstLine="2880" w:firstLineChars="1200"/>
        <w:jc w:val="both"/>
        <w:rPr>
          <w:rFonts w:cs="Times New Roman"/>
          <w:color w:val="auto"/>
          <w:highlight w:val="none"/>
          <w:u w:val="single"/>
          <w:lang w:val="en-US" w:eastAsia="zh-CN"/>
        </w:rPr>
      </w:pPr>
      <w:r>
        <w:rPr>
          <w:rFonts w:hint="eastAsia"/>
          <w:color w:val="auto"/>
          <w:sz w:val="24"/>
          <w:szCs w:val="24"/>
          <w:highlight w:val="none"/>
        </w:rPr>
        <w:t>电子</w:t>
      </w:r>
      <w:r>
        <w:rPr>
          <w:rFonts w:hint="eastAsia"/>
          <w:color w:val="auto"/>
          <w:sz w:val="24"/>
          <w:szCs w:val="24"/>
          <w:highlight w:val="none"/>
          <w:lang w:val="en-US" w:eastAsia="zh-CN"/>
        </w:rPr>
        <w:t>邮</w:t>
      </w:r>
      <w:r>
        <w:rPr>
          <w:rFonts w:hint="eastAsia"/>
          <w:color w:val="auto"/>
          <w:sz w:val="24"/>
          <w:szCs w:val="24"/>
          <w:highlight w:val="none"/>
        </w:rPr>
        <w:t>箱</w:t>
      </w:r>
      <w:r>
        <w:rPr>
          <w:rFonts w:hint="eastAsia"/>
          <w:color w:val="auto"/>
          <w:sz w:val="24"/>
          <w:szCs w:val="24"/>
          <w:highlight w:val="none"/>
          <w:lang w:eastAsia="zh-CN"/>
        </w:rPr>
        <w:t>：</w:t>
      </w:r>
      <w:r>
        <w:rPr>
          <w:rFonts w:hint="eastAsia"/>
          <w:color w:val="auto"/>
          <w:sz w:val="24"/>
          <w:szCs w:val="24"/>
          <w:highlight w:val="none"/>
          <w:u w:val="single"/>
          <w:lang w:val="en-US" w:eastAsia="zh-CN"/>
        </w:rPr>
        <w:t xml:space="preserve">                        </w:t>
      </w:r>
    </w:p>
    <w:p w14:paraId="1BCF1F8D">
      <w:pPr>
        <w:pStyle w:val="51"/>
        <w:tabs>
          <w:tab w:val="left" w:pos="6725"/>
          <w:tab w:val="left" w:pos="6950"/>
        </w:tabs>
        <w:spacing w:line="360" w:lineRule="auto"/>
        <w:ind w:firstLine="3600" w:firstLineChars="1500"/>
        <w:jc w:val="both"/>
        <w:rPr>
          <w:rFonts w:cs="Times New Roman"/>
          <w:color w:val="auto"/>
          <w:highlight w:val="none"/>
          <w:u w:val="single"/>
          <w:lang w:val="en-US" w:eastAsia="zh-CN"/>
        </w:rPr>
      </w:pPr>
      <w:r>
        <w:rPr>
          <w:rFonts w:hint="eastAsia"/>
          <w:color w:val="auto"/>
          <w:sz w:val="24"/>
          <w:szCs w:val="24"/>
          <w:highlight w:val="none"/>
        </w:rPr>
        <w:t>电</w:t>
      </w:r>
      <w:r>
        <w:rPr>
          <w:color w:val="auto"/>
          <w:sz w:val="24"/>
          <w:szCs w:val="24"/>
          <w:highlight w:val="none"/>
        </w:rPr>
        <w:t xml:space="preserve"> </w:t>
      </w:r>
      <w:r>
        <w:rPr>
          <w:rFonts w:hint="eastAsia"/>
          <w:color w:val="auto"/>
          <w:sz w:val="24"/>
          <w:szCs w:val="24"/>
          <w:highlight w:val="none"/>
        </w:rPr>
        <w:t>话：</w:t>
      </w:r>
      <w:r>
        <w:rPr>
          <w:rFonts w:hint="eastAsia"/>
          <w:color w:val="auto"/>
          <w:sz w:val="24"/>
          <w:szCs w:val="24"/>
          <w:highlight w:val="none"/>
          <w:u w:val="single"/>
          <w:lang w:val="en-US" w:eastAsia="zh-CN"/>
        </w:rPr>
        <w:t xml:space="preserve">            </w:t>
      </w:r>
    </w:p>
    <w:p w14:paraId="0E18EDDA">
      <w:pPr>
        <w:pStyle w:val="51"/>
        <w:tabs>
          <w:tab w:val="left" w:pos="6725"/>
          <w:tab w:val="left" w:pos="6950"/>
        </w:tabs>
        <w:spacing w:line="360" w:lineRule="auto"/>
        <w:ind w:firstLine="3600" w:firstLineChars="1500"/>
        <w:jc w:val="both"/>
        <w:rPr>
          <w:rFonts w:cs="Times New Roman"/>
          <w:color w:val="auto"/>
          <w:highlight w:val="none"/>
          <w:lang w:val="en-US"/>
        </w:rPr>
      </w:pPr>
      <w:r>
        <w:rPr>
          <w:rFonts w:hint="eastAsia"/>
          <w:color w:val="auto"/>
          <w:sz w:val="24"/>
          <w:szCs w:val="24"/>
          <w:highlight w:val="none"/>
        </w:rPr>
        <w:t>传</w:t>
      </w:r>
      <w:r>
        <w:rPr>
          <w:color w:val="auto"/>
          <w:sz w:val="24"/>
          <w:szCs w:val="24"/>
          <w:highlight w:val="none"/>
        </w:rPr>
        <w:t xml:space="preserve"> </w:t>
      </w:r>
      <w:r>
        <w:rPr>
          <w:rFonts w:hint="eastAsia"/>
          <w:color w:val="auto"/>
          <w:sz w:val="24"/>
          <w:szCs w:val="24"/>
          <w:highlight w:val="none"/>
        </w:rPr>
        <w:t>真：</w:t>
      </w:r>
      <w:r>
        <w:rPr>
          <w:rFonts w:hint="eastAsia"/>
          <w:color w:val="auto"/>
          <w:sz w:val="24"/>
          <w:szCs w:val="24"/>
          <w:highlight w:val="none"/>
          <w:u w:val="single"/>
          <w:lang w:val="en-US" w:eastAsia="zh-CN"/>
        </w:rPr>
        <w:t xml:space="preserve">            </w:t>
      </w:r>
    </w:p>
    <w:p w14:paraId="6D9B8C58">
      <w:pPr>
        <w:pStyle w:val="51"/>
        <w:tabs>
          <w:tab w:val="left" w:pos="8111"/>
        </w:tabs>
        <w:spacing w:line="360" w:lineRule="auto"/>
        <w:ind w:firstLine="3600" w:firstLineChars="1500"/>
        <w:jc w:val="both"/>
        <w:rPr>
          <w:rFonts w:cs="Times New Roman"/>
          <w:color w:val="auto"/>
          <w:highlight w:val="none"/>
          <w:lang w:val="en-US" w:eastAsia="zh-CN"/>
        </w:rPr>
      </w:pPr>
      <w:r>
        <w:rPr>
          <w:rFonts w:hint="eastAsia"/>
          <w:color w:val="auto"/>
          <w:sz w:val="24"/>
          <w:szCs w:val="24"/>
          <w:highlight w:val="none"/>
        </w:rPr>
        <w:t>邮政编码</w:t>
      </w:r>
      <w:r>
        <w:rPr>
          <w:color w:val="auto"/>
          <w:sz w:val="24"/>
          <w:szCs w:val="24"/>
          <w:highlight w:val="none"/>
        </w:rPr>
        <w:t>:</w:t>
      </w:r>
      <w:r>
        <w:rPr>
          <w:rFonts w:hint="eastAsia"/>
          <w:color w:val="auto"/>
          <w:sz w:val="24"/>
          <w:szCs w:val="24"/>
          <w:highlight w:val="none"/>
          <w:u w:val="single"/>
          <w:lang w:val="en-US" w:eastAsia="zh-CN"/>
        </w:rPr>
        <w:t xml:space="preserve">            </w:t>
      </w:r>
    </w:p>
    <w:p w14:paraId="1DD9824F">
      <w:pPr>
        <w:spacing w:line="360" w:lineRule="auto"/>
        <w:ind w:firstLine="3600" w:firstLineChars="1500"/>
        <w:jc w:val="both"/>
        <w:rPr>
          <w:rFonts w:ascii="宋体" w:cs="Times New Roman"/>
          <w:color w:val="auto"/>
          <w:sz w:val="24"/>
          <w:szCs w:val="24"/>
          <w:highlight w:val="none"/>
        </w:rPr>
      </w:pPr>
      <w:r>
        <w:rPr>
          <w:rFonts w:hint="eastAsia" w:ascii="宋体" w:hAnsi="宋体" w:cs="宋体"/>
          <w:color w:val="auto"/>
          <w:sz w:val="24"/>
          <w:szCs w:val="24"/>
          <w:highlight w:val="none"/>
        </w:rPr>
        <w:t>年</w:t>
      </w:r>
      <w:r>
        <w:rPr>
          <w:rFonts w:ascii="宋体" w:cs="Times New Roman"/>
          <w:color w:val="auto"/>
          <w:highlight w:val="none"/>
          <w:u w:val="single"/>
        </w:rPr>
        <w:tab/>
      </w:r>
      <w:r>
        <w:rPr>
          <w:rFonts w:hint="eastAsia" w:ascii="宋体" w:cs="Times New Roman"/>
          <w:color w:val="auto"/>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14:paraId="43A62726">
      <w:pPr>
        <w:spacing w:line="360" w:lineRule="auto"/>
        <w:jc w:val="center"/>
        <w:rPr>
          <w:rFonts w:ascii="宋体" w:cs="Times New Roman"/>
          <w:color w:val="auto"/>
          <w:sz w:val="36"/>
          <w:szCs w:val="36"/>
          <w:highlight w:val="none"/>
        </w:rPr>
      </w:pPr>
      <w:r>
        <w:rPr>
          <w:rFonts w:ascii="宋体" w:cs="Times New Roman"/>
          <w:color w:val="auto"/>
          <w:sz w:val="24"/>
          <w:szCs w:val="24"/>
          <w:highlight w:val="none"/>
        </w:rPr>
        <w:br w:type="page"/>
      </w:r>
      <w:bookmarkStart w:id="245" w:name="bookmark568"/>
      <w:bookmarkStart w:id="246" w:name="bookmark566"/>
      <w:bookmarkStart w:id="247" w:name="bookmark569"/>
      <w:bookmarkStart w:id="248" w:name="bookmark567"/>
    </w:p>
    <w:p w14:paraId="7C64B8CB">
      <w:pPr>
        <w:pStyle w:val="4"/>
        <w:rPr>
          <w:rFonts w:ascii="宋体" w:cs="Times New Roman"/>
          <w:color w:val="auto"/>
          <w:highlight w:val="none"/>
        </w:rPr>
      </w:pPr>
      <w:bookmarkStart w:id="249" w:name="_Toc8267"/>
      <w:r>
        <w:rPr>
          <w:rFonts w:hint="eastAsia" w:ascii="宋体" w:hAnsi="宋体" w:cs="宋体"/>
          <w:color w:val="auto"/>
          <w:highlight w:val="none"/>
        </w:rPr>
        <w:t>二</w:t>
      </w:r>
      <w:bookmarkEnd w:id="245"/>
      <w:r>
        <w:rPr>
          <w:rFonts w:hint="eastAsia" w:ascii="宋体" w:hAnsi="宋体" w:cs="宋体"/>
          <w:color w:val="auto"/>
          <w:highlight w:val="none"/>
        </w:rPr>
        <w:t>、授权委托书</w:t>
      </w:r>
      <w:bookmarkEnd w:id="246"/>
      <w:bookmarkEnd w:id="247"/>
      <w:bookmarkEnd w:id="248"/>
      <w:bookmarkEnd w:id="249"/>
    </w:p>
    <w:p w14:paraId="1EBF18D7">
      <w:pPr>
        <w:pStyle w:val="51"/>
        <w:spacing w:line="360" w:lineRule="auto"/>
        <w:jc w:val="center"/>
        <w:rPr>
          <w:rFonts w:cs="Times New Roman"/>
          <w:color w:val="auto"/>
          <w:highlight w:val="none"/>
        </w:rPr>
      </w:pPr>
      <w:r>
        <w:rPr>
          <w:rFonts w:hint="eastAsia"/>
          <w:color w:val="auto"/>
          <w:sz w:val="24"/>
          <w:szCs w:val="24"/>
          <w:highlight w:val="none"/>
        </w:rPr>
        <w:t>（适用于有委托代理人的情况）</w:t>
      </w:r>
    </w:p>
    <w:p w14:paraId="4D8C9467">
      <w:pPr>
        <w:pStyle w:val="51"/>
        <w:tabs>
          <w:tab w:val="left" w:pos="2304"/>
          <w:tab w:val="left" w:pos="3797"/>
          <w:tab w:val="left" w:pos="5578"/>
          <w:tab w:val="left" w:pos="5986"/>
        </w:tabs>
        <w:spacing w:line="360" w:lineRule="auto"/>
        <w:ind w:firstLine="480"/>
        <w:rPr>
          <w:rFonts w:cs="Times New Roman"/>
          <w:color w:val="auto"/>
          <w:sz w:val="24"/>
          <w:szCs w:val="24"/>
          <w:highlight w:val="none"/>
        </w:rPr>
      </w:pPr>
      <w:r>
        <w:rPr>
          <w:rFonts w:hint="eastAsia"/>
          <w:color w:val="auto"/>
          <w:sz w:val="24"/>
          <w:szCs w:val="24"/>
          <w:highlight w:val="none"/>
        </w:rPr>
        <w:t>本人</w:t>
      </w:r>
      <w:r>
        <w:rPr>
          <w:rFonts w:cs="Times New Roman"/>
          <w:color w:val="auto"/>
          <w:sz w:val="24"/>
          <w:szCs w:val="24"/>
          <w:highlight w:val="none"/>
          <w:u w:val="single"/>
        </w:rPr>
        <w:tab/>
      </w:r>
      <w:r>
        <w:rPr>
          <w:rFonts w:hint="eastAsia"/>
          <w:color w:val="auto"/>
          <w:sz w:val="24"/>
          <w:szCs w:val="24"/>
          <w:highlight w:val="none"/>
          <w:u w:val="single"/>
        </w:rPr>
        <w:t>（姓名）</w:t>
      </w:r>
      <w:r>
        <w:rPr>
          <w:rFonts w:hint="eastAsia"/>
          <w:color w:val="auto"/>
          <w:sz w:val="24"/>
          <w:szCs w:val="24"/>
          <w:highlight w:val="none"/>
        </w:rPr>
        <w:t>系</w:t>
      </w:r>
      <w:r>
        <w:rPr>
          <w:rFonts w:cs="Times New Roman"/>
          <w:color w:val="auto"/>
          <w:sz w:val="24"/>
          <w:szCs w:val="24"/>
          <w:highlight w:val="none"/>
          <w:u w:val="single"/>
        </w:rPr>
        <w:tab/>
      </w:r>
      <w:r>
        <w:rPr>
          <w:rFonts w:hint="eastAsia"/>
          <w:color w:val="auto"/>
          <w:sz w:val="24"/>
          <w:szCs w:val="24"/>
          <w:highlight w:val="none"/>
          <w:u w:val="single"/>
        </w:rPr>
        <w:t>（</w:t>
      </w:r>
      <w:r>
        <w:rPr>
          <w:rFonts w:hint="eastAsia"/>
          <w:color w:val="auto"/>
          <w:sz w:val="24"/>
          <w:szCs w:val="24"/>
          <w:highlight w:val="none"/>
          <w:u w:val="single"/>
          <w:lang w:eastAsia="zh-CN"/>
        </w:rPr>
        <w:t>询比响应人</w:t>
      </w:r>
      <w:r>
        <w:rPr>
          <w:rFonts w:hint="eastAsia"/>
          <w:color w:val="auto"/>
          <w:sz w:val="24"/>
          <w:szCs w:val="24"/>
          <w:highlight w:val="none"/>
          <w:u w:val="single"/>
        </w:rPr>
        <w:t>名称）</w:t>
      </w:r>
      <w:r>
        <w:rPr>
          <w:rFonts w:hint="eastAsia"/>
          <w:color w:val="auto"/>
          <w:sz w:val="24"/>
          <w:szCs w:val="24"/>
          <w:highlight w:val="none"/>
        </w:rPr>
        <w:t>的法定代表人</w:t>
      </w:r>
      <w:r>
        <w:rPr>
          <w:color w:val="auto"/>
          <w:sz w:val="24"/>
          <w:szCs w:val="24"/>
          <w:highlight w:val="none"/>
        </w:rPr>
        <w:t xml:space="preserve"> </w:t>
      </w:r>
      <w:r>
        <w:rPr>
          <w:rFonts w:hint="eastAsia"/>
          <w:color w:val="auto"/>
          <w:sz w:val="24"/>
          <w:szCs w:val="24"/>
          <w:highlight w:val="none"/>
        </w:rPr>
        <w:t>（单位负责人），现委托</w:t>
      </w:r>
      <w:r>
        <w:rPr>
          <w:rFonts w:cs="Times New Roman"/>
          <w:color w:val="auto"/>
          <w:sz w:val="24"/>
          <w:szCs w:val="24"/>
          <w:highlight w:val="none"/>
          <w:u w:val="single"/>
        </w:rPr>
        <w:tab/>
      </w:r>
      <w:r>
        <w:rPr>
          <w:rFonts w:hint="eastAsia"/>
          <w:color w:val="auto"/>
          <w:sz w:val="24"/>
          <w:szCs w:val="24"/>
          <w:highlight w:val="none"/>
          <w:u w:val="single"/>
        </w:rPr>
        <w:t>（姓名）</w:t>
      </w:r>
      <w:r>
        <w:rPr>
          <w:rFonts w:hint="eastAsia"/>
          <w:color w:val="auto"/>
          <w:sz w:val="24"/>
          <w:szCs w:val="24"/>
          <w:highlight w:val="none"/>
        </w:rPr>
        <w:t>为我方代理人。代理人根据授权，以我方名义签署、澄清确认、递交、撤回、修改</w:t>
      </w:r>
      <w:r>
        <w:rPr>
          <w:rFonts w:cs="Times New Roman"/>
          <w:color w:val="auto"/>
          <w:sz w:val="24"/>
          <w:szCs w:val="24"/>
          <w:highlight w:val="none"/>
          <w:u w:val="single"/>
        </w:rPr>
        <w:tab/>
      </w:r>
      <w:r>
        <w:rPr>
          <w:rFonts w:hint="eastAsia" w:cs="Times New Roman"/>
          <w:color w:val="auto"/>
          <w:sz w:val="24"/>
          <w:szCs w:val="24"/>
          <w:highlight w:val="none"/>
          <w:u w:val="single"/>
          <w:lang w:val="en-US" w:eastAsia="zh-CN"/>
        </w:rPr>
        <w:t xml:space="preserve">               </w:t>
      </w:r>
      <w:r>
        <w:rPr>
          <w:rFonts w:hint="eastAsia"/>
          <w:color w:val="auto"/>
          <w:sz w:val="24"/>
          <w:szCs w:val="24"/>
          <w:highlight w:val="none"/>
        </w:rPr>
        <w:t>项目响应文件、签订合同和处理有关事宜，其法律后果由我方承担。</w:t>
      </w:r>
    </w:p>
    <w:p w14:paraId="10F52432">
      <w:pPr>
        <w:pStyle w:val="51"/>
        <w:tabs>
          <w:tab w:val="left" w:pos="5674"/>
        </w:tabs>
        <w:spacing w:line="360" w:lineRule="auto"/>
        <w:ind w:firstLine="480"/>
        <w:rPr>
          <w:rFonts w:cs="Times New Roman"/>
          <w:color w:val="auto"/>
          <w:sz w:val="24"/>
          <w:szCs w:val="24"/>
          <w:highlight w:val="none"/>
        </w:rPr>
      </w:pPr>
      <w:r>
        <w:rPr>
          <w:rFonts w:hint="eastAsia"/>
          <w:color w:val="auto"/>
          <w:sz w:val="24"/>
          <w:szCs w:val="24"/>
          <w:highlight w:val="none"/>
        </w:rPr>
        <w:t>委托期限：自本委托书签署之日起</w:t>
      </w:r>
      <w:r>
        <w:rPr>
          <w:rFonts w:hint="eastAsia"/>
          <w:color w:val="auto"/>
          <w:sz w:val="24"/>
          <w:szCs w:val="24"/>
          <w:highlight w:val="none"/>
          <w:u w:val="single"/>
          <w:lang w:val="en-US" w:eastAsia="zh-CN"/>
        </w:rPr>
        <w:t xml:space="preserve">  90  </w:t>
      </w:r>
      <w:r>
        <w:rPr>
          <w:rFonts w:hint="eastAsia"/>
          <w:color w:val="auto"/>
          <w:sz w:val="24"/>
          <w:szCs w:val="24"/>
          <w:highlight w:val="none"/>
          <w:lang w:val="en-US" w:eastAsia="zh-CN"/>
        </w:rPr>
        <w:t>日历日</w:t>
      </w:r>
      <w:r>
        <w:rPr>
          <w:rFonts w:hint="eastAsia"/>
          <w:color w:val="auto"/>
          <w:sz w:val="24"/>
          <w:szCs w:val="24"/>
          <w:highlight w:val="none"/>
        </w:rPr>
        <w:t>。</w:t>
      </w:r>
    </w:p>
    <w:p w14:paraId="0861A2B7">
      <w:pPr>
        <w:pStyle w:val="51"/>
        <w:spacing w:line="360" w:lineRule="auto"/>
        <w:ind w:firstLine="460"/>
        <w:jc w:val="left"/>
        <w:rPr>
          <w:rFonts w:cs="Times New Roman"/>
          <w:color w:val="auto"/>
          <w:sz w:val="24"/>
          <w:szCs w:val="24"/>
          <w:highlight w:val="none"/>
        </w:rPr>
      </w:pPr>
      <w:r>
        <w:rPr>
          <w:rFonts w:hint="eastAsia"/>
          <w:color w:val="auto"/>
          <w:sz w:val="24"/>
          <w:szCs w:val="24"/>
          <w:highlight w:val="none"/>
        </w:rPr>
        <w:t>代理人无转委托权。</w:t>
      </w:r>
    </w:p>
    <w:p w14:paraId="013E70F2">
      <w:pPr>
        <w:pStyle w:val="51"/>
        <w:spacing w:line="360" w:lineRule="auto"/>
        <w:ind w:firstLine="460"/>
        <w:jc w:val="left"/>
        <w:rPr>
          <w:rFonts w:cs="Times New Roman"/>
          <w:color w:val="auto"/>
          <w:sz w:val="24"/>
          <w:szCs w:val="24"/>
          <w:highlight w:val="none"/>
        </w:rPr>
      </w:pPr>
      <w:r>
        <w:rPr>
          <w:rFonts w:hint="eastAsia"/>
          <w:color w:val="auto"/>
          <w:sz w:val="24"/>
          <w:szCs w:val="24"/>
          <w:highlight w:val="none"/>
        </w:rPr>
        <w:t>附：法定代表人（单位负责人）身份证复印件及委托代理人身份证复印件。</w:t>
      </w:r>
    </w:p>
    <w:p w14:paraId="23387273">
      <w:pPr>
        <w:pStyle w:val="51"/>
        <w:tabs>
          <w:tab w:val="left" w:pos="7358"/>
          <w:tab w:val="left" w:pos="7838"/>
          <w:tab w:val="left" w:pos="8592"/>
        </w:tabs>
        <w:spacing w:line="360" w:lineRule="auto"/>
        <w:ind w:firstLine="1920" w:firstLineChars="800"/>
        <w:jc w:val="left"/>
        <w:rPr>
          <w:rFonts w:cs="Times New Roman"/>
          <w:color w:val="auto"/>
          <w:sz w:val="24"/>
          <w:szCs w:val="24"/>
          <w:highlight w:val="none"/>
          <w:u w:val="single"/>
        </w:rPr>
      </w:pPr>
      <w:r>
        <w:rPr>
          <w:rFonts w:hint="eastAsia"/>
          <w:color w:val="auto"/>
          <w:sz w:val="24"/>
          <w:szCs w:val="24"/>
          <w:highlight w:val="none"/>
          <w:lang w:eastAsia="zh-CN"/>
        </w:rPr>
        <w:t>询比响应人</w:t>
      </w:r>
      <w:r>
        <w:rPr>
          <w:rFonts w:hint="eastAsia"/>
          <w:color w:val="auto"/>
          <w:sz w:val="24"/>
          <w:szCs w:val="24"/>
          <w:highlight w:val="none"/>
        </w:rPr>
        <w:t>：</w:t>
      </w:r>
      <w:r>
        <w:rPr>
          <w:rFonts w:hint="eastAsia"/>
          <w:color w:val="auto"/>
          <w:sz w:val="24"/>
          <w:szCs w:val="24"/>
          <w:highlight w:val="none"/>
          <w:u w:val="single"/>
        </w:rPr>
        <w:t>（盖单位章）</w:t>
      </w:r>
    </w:p>
    <w:p w14:paraId="794148C1">
      <w:pPr>
        <w:pStyle w:val="51"/>
        <w:tabs>
          <w:tab w:val="left" w:pos="7358"/>
          <w:tab w:val="left" w:pos="7838"/>
          <w:tab w:val="left" w:pos="8592"/>
        </w:tabs>
        <w:spacing w:line="360" w:lineRule="auto"/>
        <w:ind w:firstLine="1920" w:firstLineChars="800"/>
        <w:jc w:val="left"/>
        <w:rPr>
          <w:color w:val="auto"/>
          <w:sz w:val="24"/>
          <w:szCs w:val="24"/>
          <w:highlight w:val="none"/>
          <w:u w:val="single"/>
        </w:rPr>
      </w:pPr>
      <w:r>
        <w:rPr>
          <w:rFonts w:hint="eastAsia"/>
          <w:color w:val="auto"/>
          <w:sz w:val="24"/>
          <w:szCs w:val="24"/>
          <w:highlight w:val="none"/>
        </w:rPr>
        <w:t>法定代表人（单位负责人）：</w:t>
      </w:r>
      <w:r>
        <w:rPr>
          <w:rFonts w:cs="Times New Roman"/>
          <w:color w:val="auto"/>
          <w:sz w:val="24"/>
          <w:szCs w:val="24"/>
          <w:highlight w:val="none"/>
          <w:u w:val="single"/>
        </w:rPr>
        <w:tab/>
      </w:r>
      <w:r>
        <w:rPr>
          <w:rFonts w:hint="eastAsia"/>
          <w:color w:val="auto"/>
          <w:sz w:val="24"/>
          <w:szCs w:val="24"/>
          <w:highlight w:val="none"/>
          <w:u w:val="single"/>
        </w:rPr>
        <w:t>（签字）</w:t>
      </w:r>
      <w:r>
        <w:rPr>
          <w:color w:val="auto"/>
          <w:sz w:val="24"/>
          <w:szCs w:val="24"/>
          <w:highlight w:val="none"/>
          <w:u w:val="single"/>
        </w:rPr>
        <w:t xml:space="preserve"> </w:t>
      </w:r>
    </w:p>
    <w:p w14:paraId="58D18036">
      <w:pPr>
        <w:pStyle w:val="51"/>
        <w:tabs>
          <w:tab w:val="left" w:pos="7358"/>
          <w:tab w:val="left" w:pos="7838"/>
          <w:tab w:val="left" w:pos="8592"/>
        </w:tabs>
        <w:spacing w:line="360" w:lineRule="auto"/>
        <w:ind w:firstLine="1920" w:firstLineChars="800"/>
        <w:jc w:val="left"/>
        <w:rPr>
          <w:rFonts w:hint="default" w:eastAsia="宋体" w:cs="Times New Roman"/>
          <w:color w:val="auto"/>
          <w:sz w:val="24"/>
          <w:szCs w:val="24"/>
          <w:highlight w:val="none"/>
          <w:lang w:val="en-US" w:eastAsia="zh-CN"/>
        </w:rPr>
      </w:pPr>
      <w:r>
        <w:rPr>
          <w:rFonts w:hint="eastAsia"/>
          <w:color w:val="auto"/>
          <w:sz w:val="24"/>
          <w:szCs w:val="24"/>
          <w:highlight w:val="none"/>
        </w:rPr>
        <w:t>身份证号码：</w:t>
      </w:r>
      <w:r>
        <w:rPr>
          <w:rFonts w:cs="Times New Roman"/>
          <w:color w:val="auto"/>
          <w:sz w:val="24"/>
          <w:szCs w:val="24"/>
          <w:highlight w:val="none"/>
          <w:u w:val="single"/>
        </w:rPr>
        <w:tab/>
      </w:r>
      <w:r>
        <w:rPr>
          <w:rFonts w:hint="eastAsia" w:cs="Times New Roman"/>
          <w:color w:val="auto"/>
          <w:sz w:val="24"/>
          <w:szCs w:val="24"/>
          <w:highlight w:val="none"/>
          <w:u w:val="single"/>
          <w:lang w:val="en-US" w:eastAsia="zh-CN"/>
        </w:rPr>
        <w:t xml:space="preserve">    </w:t>
      </w:r>
    </w:p>
    <w:p w14:paraId="0FDBF22C">
      <w:pPr>
        <w:pStyle w:val="51"/>
        <w:tabs>
          <w:tab w:val="left" w:pos="7358"/>
          <w:tab w:val="left" w:pos="7838"/>
          <w:tab w:val="left" w:pos="8592"/>
        </w:tabs>
        <w:spacing w:line="360" w:lineRule="auto"/>
        <w:ind w:firstLine="1920" w:firstLineChars="800"/>
        <w:jc w:val="left"/>
        <w:rPr>
          <w:color w:val="auto"/>
          <w:sz w:val="24"/>
          <w:szCs w:val="24"/>
          <w:highlight w:val="none"/>
          <w:u w:val="single"/>
        </w:rPr>
      </w:pPr>
      <w:r>
        <w:rPr>
          <w:rFonts w:hint="eastAsia"/>
          <w:color w:val="auto"/>
          <w:sz w:val="24"/>
          <w:szCs w:val="24"/>
          <w:highlight w:val="none"/>
        </w:rPr>
        <w:t>委托代理人：</w:t>
      </w:r>
      <w:r>
        <w:rPr>
          <w:rFonts w:cs="Times New Roman"/>
          <w:color w:val="auto"/>
          <w:sz w:val="24"/>
          <w:szCs w:val="24"/>
          <w:highlight w:val="none"/>
          <w:u w:val="single"/>
        </w:rPr>
        <w:tab/>
      </w:r>
      <w:r>
        <w:rPr>
          <w:rFonts w:hint="eastAsia"/>
          <w:color w:val="auto"/>
          <w:sz w:val="24"/>
          <w:szCs w:val="24"/>
          <w:highlight w:val="none"/>
          <w:u w:val="single"/>
        </w:rPr>
        <w:t>（签字）</w:t>
      </w:r>
      <w:r>
        <w:rPr>
          <w:color w:val="auto"/>
          <w:sz w:val="24"/>
          <w:szCs w:val="24"/>
          <w:highlight w:val="none"/>
          <w:u w:val="single"/>
        </w:rPr>
        <w:t xml:space="preserve"> </w:t>
      </w:r>
    </w:p>
    <w:p w14:paraId="55449599">
      <w:pPr>
        <w:pStyle w:val="51"/>
        <w:tabs>
          <w:tab w:val="left" w:pos="7358"/>
          <w:tab w:val="left" w:pos="7838"/>
          <w:tab w:val="left" w:pos="8592"/>
        </w:tabs>
        <w:spacing w:line="360" w:lineRule="auto"/>
        <w:ind w:firstLine="1920" w:firstLineChars="800"/>
        <w:jc w:val="left"/>
        <w:rPr>
          <w:rFonts w:cs="Times New Roman"/>
          <w:color w:val="auto"/>
          <w:sz w:val="24"/>
          <w:szCs w:val="24"/>
          <w:highlight w:val="none"/>
          <w:lang w:val="en-US" w:eastAsia="zh-CN"/>
        </w:rPr>
      </w:pPr>
      <w:r>
        <w:rPr>
          <w:rFonts w:hint="eastAsia"/>
          <w:color w:val="auto"/>
          <w:sz w:val="24"/>
          <w:szCs w:val="24"/>
          <w:highlight w:val="none"/>
        </w:rPr>
        <w:t>身份证号码：</w:t>
      </w:r>
      <w:r>
        <w:rPr>
          <w:rFonts w:cs="Times New Roman"/>
          <w:color w:val="auto"/>
          <w:sz w:val="24"/>
          <w:szCs w:val="24"/>
          <w:highlight w:val="none"/>
          <w:u w:val="single"/>
        </w:rPr>
        <w:tab/>
      </w:r>
    </w:p>
    <w:p w14:paraId="3DA57F59">
      <w:pPr>
        <w:spacing w:line="360" w:lineRule="auto"/>
        <w:rPr>
          <w:rFonts w:ascii="宋体" w:cs="Times New Roman"/>
          <w:color w:val="auto"/>
          <w:sz w:val="24"/>
          <w:szCs w:val="24"/>
          <w:highlight w:val="none"/>
          <w:u w:val="single"/>
        </w:rPr>
      </w:pPr>
    </w:p>
    <w:p w14:paraId="350313B2">
      <w:pPr>
        <w:spacing w:line="360" w:lineRule="auto"/>
        <w:ind w:firstLine="5280" w:firstLineChars="2200"/>
        <w:rPr>
          <w:rFonts w:ascii="宋体" w:cs="Times New Roman"/>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69696D97">
      <w:pPr>
        <w:spacing w:line="360" w:lineRule="auto"/>
        <w:rPr>
          <w:rFonts w:ascii="宋体" w:cs="Times New Roman"/>
          <w:color w:val="auto"/>
          <w:sz w:val="36"/>
          <w:szCs w:val="36"/>
          <w:highlight w:val="none"/>
        </w:rPr>
      </w:pPr>
      <w:r>
        <w:rPr>
          <w:rFonts w:ascii="宋体" w:cs="Times New Roman"/>
          <w:color w:val="auto"/>
          <w:sz w:val="24"/>
          <w:szCs w:val="24"/>
          <w:highlight w:val="none"/>
        </w:rPr>
        <w:br w:type="page"/>
      </w:r>
      <w:bookmarkStart w:id="250" w:name="bookmark573"/>
      <w:bookmarkStart w:id="251" w:name="bookmark572"/>
      <w:bookmarkStart w:id="252" w:name="bookmark570"/>
      <w:bookmarkStart w:id="253" w:name="bookmark571"/>
    </w:p>
    <w:bookmarkEnd w:id="250"/>
    <w:bookmarkEnd w:id="251"/>
    <w:bookmarkEnd w:id="252"/>
    <w:bookmarkEnd w:id="253"/>
    <w:p w14:paraId="21223535">
      <w:pPr>
        <w:pStyle w:val="4"/>
        <w:rPr>
          <w:rFonts w:ascii="宋体" w:cs="Times New Roman"/>
          <w:color w:val="auto"/>
          <w:highlight w:val="none"/>
        </w:rPr>
      </w:pPr>
      <w:bookmarkStart w:id="254" w:name="_Toc7846"/>
      <w:bookmarkStart w:id="255" w:name="bookmark582"/>
      <w:bookmarkStart w:id="256" w:name="_Toc20927"/>
      <w:bookmarkStart w:id="257" w:name="bookmark581"/>
      <w:bookmarkStart w:id="258" w:name="bookmark580"/>
      <w:bookmarkStart w:id="259" w:name="bookmark583"/>
      <w:r>
        <w:rPr>
          <w:rFonts w:hint="eastAsia" w:ascii="宋体" w:hAnsi="宋体" w:cs="宋体"/>
          <w:color w:val="auto"/>
          <w:highlight w:val="none"/>
        </w:rPr>
        <w:t>三、联合体协议书（不适用）</w:t>
      </w:r>
      <w:bookmarkEnd w:id="254"/>
    </w:p>
    <w:p w14:paraId="443AD5AA">
      <w:pPr>
        <w:pStyle w:val="51"/>
        <w:tabs>
          <w:tab w:val="left" w:pos="2352"/>
          <w:tab w:val="left" w:pos="3274"/>
          <w:tab w:val="left" w:pos="6926"/>
        </w:tabs>
        <w:spacing w:line="360" w:lineRule="auto"/>
        <w:ind w:firstLine="840" w:firstLineChars="400"/>
        <w:rPr>
          <w:rFonts w:cs="Times New Roman"/>
          <w:color w:val="auto"/>
          <w:highlight w:val="none"/>
        </w:rPr>
      </w:pPr>
      <w:r>
        <w:rPr>
          <w:rFonts w:cs="Times New Roman"/>
          <w:color w:val="auto"/>
          <w:highlight w:val="none"/>
          <w:u w:val="single"/>
        </w:rPr>
        <w:tab/>
      </w:r>
      <w:r>
        <w:rPr>
          <w:rFonts w:hint="eastAsia"/>
          <w:color w:val="auto"/>
          <w:sz w:val="24"/>
          <w:szCs w:val="24"/>
          <w:highlight w:val="none"/>
          <w:u w:val="single"/>
        </w:rPr>
        <w:t>（所有成员单位名称）</w:t>
      </w:r>
      <w:r>
        <w:rPr>
          <w:rFonts w:hint="eastAsia"/>
          <w:color w:val="auto"/>
          <w:sz w:val="24"/>
          <w:szCs w:val="24"/>
          <w:highlight w:val="none"/>
        </w:rPr>
        <w:t>自愿组成</w:t>
      </w:r>
      <w:r>
        <w:rPr>
          <w:rFonts w:cs="Times New Roman"/>
          <w:color w:val="auto"/>
          <w:highlight w:val="none"/>
          <w:u w:val="single"/>
        </w:rPr>
        <w:tab/>
      </w:r>
      <w:r>
        <w:rPr>
          <w:rFonts w:hint="eastAsia"/>
          <w:color w:val="auto"/>
          <w:sz w:val="24"/>
          <w:szCs w:val="24"/>
          <w:highlight w:val="none"/>
          <w:u w:val="single"/>
        </w:rPr>
        <w:t>（联合体名称）</w:t>
      </w:r>
      <w:r>
        <w:rPr>
          <w:rFonts w:hint="eastAsia"/>
          <w:color w:val="auto"/>
          <w:sz w:val="24"/>
          <w:szCs w:val="24"/>
          <w:highlight w:val="none"/>
        </w:rPr>
        <w:t>联合体，共同参加</w:t>
      </w:r>
      <w:r>
        <w:rPr>
          <w:rFonts w:cs="Times New Roman"/>
          <w:color w:val="auto"/>
          <w:highlight w:val="none"/>
          <w:u w:val="single"/>
        </w:rPr>
        <w:tab/>
      </w:r>
      <w:r>
        <w:rPr>
          <w:rFonts w:hint="eastAsia"/>
          <w:color w:val="auto"/>
          <w:sz w:val="24"/>
          <w:szCs w:val="24"/>
          <w:highlight w:val="none"/>
          <w:u w:val="single"/>
        </w:rPr>
        <w:t>（项目名称）</w:t>
      </w:r>
      <w:r>
        <w:rPr>
          <w:rFonts w:hint="eastAsia"/>
          <w:color w:val="auto"/>
          <w:sz w:val="24"/>
          <w:szCs w:val="24"/>
          <w:highlight w:val="none"/>
          <w:lang w:eastAsia="zh-CN"/>
        </w:rPr>
        <w:t>询比</w:t>
      </w:r>
      <w:r>
        <w:rPr>
          <w:rFonts w:hint="eastAsia"/>
          <w:color w:val="auto"/>
          <w:sz w:val="24"/>
          <w:szCs w:val="24"/>
          <w:highlight w:val="none"/>
        </w:rPr>
        <w:t>活动。现就组成联合体事宜订立如下</w:t>
      </w:r>
      <w:r>
        <w:rPr>
          <w:rFonts w:hint="eastAsia"/>
          <w:color w:val="auto"/>
          <w:sz w:val="24"/>
          <w:szCs w:val="24"/>
          <w:highlight w:val="none"/>
          <w:lang w:val="en-US" w:eastAsia="zh-CN"/>
        </w:rPr>
        <w:t>协</w:t>
      </w:r>
      <w:r>
        <w:rPr>
          <w:rFonts w:hint="eastAsia"/>
          <w:color w:val="auto"/>
          <w:sz w:val="24"/>
          <w:szCs w:val="24"/>
          <w:highlight w:val="none"/>
        </w:rPr>
        <w:t>议。</w:t>
      </w:r>
    </w:p>
    <w:p w14:paraId="14DB2CD5">
      <w:pPr>
        <w:pStyle w:val="51"/>
        <w:tabs>
          <w:tab w:val="left" w:pos="413"/>
          <w:tab w:val="left" w:pos="2789"/>
          <w:tab w:val="left" w:pos="6211"/>
        </w:tabs>
        <w:spacing w:line="360" w:lineRule="auto"/>
        <w:ind w:firstLine="480" w:firstLineChars="200"/>
        <w:jc w:val="left"/>
        <w:rPr>
          <w:rFonts w:cs="Times New Roman"/>
          <w:color w:val="auto"/>
          <w:highlight w:val="none"/>
        </w:rPr>
      </w:pPr>
      <w:r>
        <w:rPr>
          <w:color w:val="auto"/>
          <w:sz w:val="24"/>
          <w:szCs w:val="24"/>
          <w:highlight w:val="none"/>
          <w:lang w:val="en-US" w:eastAsia="zh-CN"/>
        </w:rPr>
        <w:t>1.</w:t>
      </w:r>
      <w:r>
        <w:rPr>
          <w:rFonts w:hint="eastAsia"/>
          <w:color w:val="auto"/>
          <w:sz w:val="24"/>
          <w:szCs w:val="24"/>
          <w:highlight w:val="none"/>
          <w:u w:val="single"/>
        </w:rPr>
        <w:t>（某成员单位名称）</w:t>
      </w:r>
      <w:r>
        <w:rPr>
          <w:rFonts w:hint="eastAsia"/>
          <w:color w:val="auto"/>
          <w:sz w:val="24"/>
          <w:szCs w:val="24"/>
          <w:highlight w:val="none"/>
        </w:rPr>
        <w:t>为</w:t>
      </w:r>
      <w:r>
        <w:rPr>
          <w:rFonts w:hint="eastAsia"/>
          <w:color w:val="auto"/>
          <w:sz w:val="24"/>
          <w:szCs w:val="24"/>
          <w:highlight w:val="none"/>
          <w:u w:val="single"/>
        </w:rPr>
        <w:t>（联合体名称）</w:t>
      </w:r>
      <w:r>
        <w:rPr>
          <w:rFonts w:hint="eastAsia"/>
          <w:color w:val="auto"/>
          <w:sz w:val="24"/>
          <w:szCs w:val="24"/>
          <w:highlight w:val="none"/>
        </w:rPr>
        <w:t>牵头人。</w:t>
      </w:r>
    </w:p>
    <w:p w14:paraId="6213C753">
      <w:pPr>
        <w:pStyle w:val="51"/>
        <w:tabs>
          <w:tab w:val="left" w:pos="834"/>
        </w:tabs>
        <w:spacing w:line="360" w:lineRule="auto"/>
        <w:ind w:firstLine="480" w:firstLineChars="200"/>
        <w:rPr>
          <w:rFonts w:cs="Times New Roman"/>
          <w:color w:val="auto"/>
          <w:highlight w:val="none"/>
        </w:rPr>
      </w:pPr>
      <w:bookmarkStart w:id="260" w:name="bookmark574"/>
      <w:bookmarkEnd w:id="260"/>
      <w:r>
        <w:rPr>
          <w:color w:val="auto"/>
          <w:sz w:val="24"/>
          <w:szCs w:val="24"/>
          <w:highlight w:val="none"/>
          <w:lang w:val="en-US" w:eastAsia="zh-CN"/>
        </w:rPr>
        <w:t>2.</w:t>
      </w:r>
      <w:r>
        <w:rPr>
          <w:rFonts w:hint="eastAsia"/>
          <w:color w:val="auto"/>
          <w:sz w:val="24"/>
          <w:szCs w:val="24"/>
          <w:highlight w:val="none"/>
        </w:rPr>
        <w:t>联合体各成员授权牵头人代表联合体参加</w:t>
      </w:r>
      <w:r>
        <w:rPr>
          <w:rFonts w:hint="eastAsia"/>
          <w:color w:val="auto"/>
          <w:sz w:val="24"/>
          <w:szCs w:val="24"/>
          <w:highlight w:val="none"/>
          <w:lang w:eastAsia="zh-CN"/>
        </w:rPr>
        <w:t>询比</w:t>
      </w:r>
      <w:r>
        <w:rPr>
          <w:rFonts w:hint="eastAsia"/>
          <w:color w:val="auto"/>
          <w:sz w:val="24"/>
          <w:szCs w:val="24"/>
          <w:highlight w:val="none"/>
        </w:rPr>
        <w:t>采购活动，签署文件，递交和接收相关的资料、信息及指示，进行合同</w:t>
      </w:r>
      <w:r>
        <w:rPr>
          <w:rFonts w:hint="eastAsia"/>
          <w:color w:val="auto"/>
          <w:sz w:val="24"/>
          <w:szCs w:val="24"/>
          <w:highlight w:val="none"/>
          <w:lang w:eastAsia="zh-CN"/>
        </w:rPr>
        <w:t>询比</w:t>
      </w:r>
      <w:r>
        <w:rPr>
          <w:rFonts w:hint="eastAsia"/>
          <w:color w:val="auto"/>
          <w:sz w:val="24"/>
          <w:szCs w:val="24"/>
          <w:highlight w:val="none"/>
        </w:rPr>
        <w:t>活动，负责合同实施阶段的组织和协调工</w:t>
      </w:r>
      <w:r>
        <w:rPr>
          <w:color w:val="auto"/>
          <w:sz w:val="24"/>
          <w:szCs w:val="24"/>
          <w:highlight w:val="none"/>
        </w:rPr>
        <w:t xml:space="preserve"> </w:t>
      </w:r>
      <w:r>
        <w:rPr>
          <w:rFonts w:hint="eastAsia"/>
          <w:color w:val="auto"/>
          <w:sz w:val="24"/>
          <w:szCs w:val="24"/>
          <w:highlight w:val="none"/>
        </w:rPr>
        <w:t>作，以及处理与本采购项目有关的一切事宜。</w:t>
      </w:r>
    </w:p>
    <w:p w14:paraId="01CB7F92">
      <w:pPr>
        <w:pStyle w:val="51"/>
        <w:tabs>
          <w:tab w:val="left" w:pos="843"/>
        </w:tabs>
        <w:spacing w:line="360" w:lineRule="auto"/>
        <w:ind w:firstLine="480" w:firstLineChars="200"/>
        <w:rPr>
          <w:rFonts w:cs="Times New Roman"/>
          <w:color w:val="auto"/>
          <w:highlight w:val="none"/>
        </w:rPr>
      </w:pPr>
      <w:bookmarkStart w:id="261" w:name="bookmark575"/>
      <w:bookmarkEnd w:id="261"/>
      <w:r>
        <w:rPr>
          <w:color w:val="auto"/>
          <w:sz w:val="24"/>
          <w:szCs w:val="24"/>
          <w:highlight w:val="none"/>
          <w:lang w:val="en-US" w:eastAsia="zh-CN"/>
        </w:rPr>
        <w:t>3.</w:t>
      </w:r>
      <w:r>
        <w:rPr>
          <w:rFonts w:hint="eastAsia"/>
          <w:color w:val="auto"/>
          <w:sz w:val="24"/>
          <w:szCs w:val="24"/>
          <w:highlight w:val="none"/>
        </w:rPr>
        <w:t>联合体牵头人在本项目中签署的一切文件和处理的一切事宜，联合体各成员均予以承认。联合体各成员将严格按照采购文件、响应文件和合同的要求全面履行义务</w:t>
      </w:r>
      <w:r>
        <w:rPr>
          <w:color w:val="auto"/>
          <w:sz w:val="24"/>
          <w:szCs w:val="24"/>
          <w:highlight w:val="none"/>
        </w:rPr>
        <w:t xml:space="preserve">, </w:t>
      </w:r>
      <w:r>
        <w:rPr>
          <w:rFonts w:hint="eastAsia"/>
          <w:color w:val="auto"/>
          <w:sz w:val="24"/>
          <w:szCs w:val="24"/>
          <w:highlight w:val="none"/>
        </w:rPr>
        <w:t>并向</w:t>
      </w:r>
      <w:r>
        <w:rPr>
          <w:rFonts w:hint="eastAsia"/>
          <w:color w:val="auto"/>
          <w:highlight w:val="none"/>
          <w:lang w:val="en-US" w:eastAsia="zh-CN"/>
        </w:rPr>
        <w:t>采购人</w:t>
      </w:r>
      <w:r>
        <w:rPr>
          <w:rFonts w:hint="eastAsia"/>
          <w:color w:val="auto"/>
          <w:sz w:val="24"/>
          <w:szCs w:val="24"/>
          <w:highlight w:val="none"/>
        </w:rPr>
        <w:t>承担连带责任。</w:t>
      </w:r>
    </w:p>
    <w:p w14:paraId="502DE1FA">
      <w:pPr>
        <w:pStyle w:val="51"/>
        <w:tabs>
          <w:tab w:val="left" w:pos="736"/>
        </w:tabs>
        <w:spacing w:line="360" w:lineRule="auto"/>
        <w:ind w:firstLine="456" w:firstLineChars="200"/>
        <w:jc w:val="left"/>
        <w:rPr>
          <w:rFonts w:cs="Times New Roman"/>
          <w:color w:val="auto"/>
          <w:spacing w:val="-6"/>
          <w:highlight w:val="none"/>
        </w:rPr>
      </w:pPr>
      <w:bookmarkStart w:id="262" w:name="bookmark576"/>
      <w:bookmarkEnd w:id="262"/>
      <w:r>
        <w:rPr>
          <w:color w:val="auto"/>
          <w:spacing w:val="-6"/>
          <w:sz w:val="24"/>
          <w:szCs w:val="24"/>
          <w:highlight w:val="none"/>
          <w:lang w:val="en-US" w:eastAsia="zh-CN"/>
        </w:rPr>
        <w:t>4.</w:t>
      </w:r>
      <w:r>
        <w:rPr>
          <w:rFonts w:hint="eastAsia"/>
          <w:color w:val="auto"/>
          <w:spacing w:val="-6"/>
          <w:sz w:val="24"/>
          <w:szCs w:val="24"/>
          <w:highlight w:val="none"/>
        </w:rPr>
        <w:t>联合体各方承诺不以自己名义单独或参加其他联合体参与本</w:t>
      </w:r>
      <w:r>
        <w:rPr>
          <w:rFonts w:hint="eastAsia"/>
          <w:color w:val="auto"/>
          <w:spacing w:val="-6"/>
          <w:sz w:val="24"/>
          <w:szCs w:val="24"/>
          <w:highlight w:val="none"/>
          <w:lang w:eastAsia="zh-CN"/>
        </w:rPr>
        <w:t>询比</w:t>
      </w:r>
      <w:r>
        <w:rPr>
          <w:rFonts w:hint="eastAsia"/>
          <w:color w:val="auto"/>
          <w:spacing w:val="-6"/>
          <w:sz w:val="24"/>
          <w:szCs w:val="24"/>
          <w:highlight w:val="none"/>
        </w:rPr>
        <w:t>釆购项目。</w:t>
      </w:r>
    </w:p>
    <w:p w14:paraId="597F4E99">
      <w:pPr>
        <w:pStyle w:val="51"/>
        <w:tabs>
          <w:tab w:val="left" w:pos="736"/>
          <w:tab w:val="left" w:pos="8822"/>
        </w:tabs>
        <w:spacing w:line="360" w:lineRule="auto"/>
        <w:ind w:firstLine="480" w:firstLineChars="200"/>
        <w:rPr>
          <w:rFonts w:cs="Times New Roman"/>
          <w:color w:val="auto"/>
          <w:highlight w:val="none"/>
        </w:rPr>
      </w:pPr>
      <w:bookmarkStart w:id="263" w:name="bookmark577"/>
      <w:bookmarkEnd w:id="263"/>
      <w:r>
        <w:rPr>
          <w:color w:val="auto"/>
          <w:sz w:val="24"/>
          <w:szCs w:val="24"/>
          <w:highlight w:val="none"/>
          <w:lang w:val="en-US" w:eastAsia="zh-CN"/>
        </w:rPr>
        <w:t>5.</w:t>
      </w:r>
      <w:r>
        <w:rPr>
          <w:rFonts w:hint="eastAsia"/>
          <w:color w:val="auto"/>
          <w:sz w:val="24"/>
          <w:szCs w:val="24"/>
          <w:highlight w:val="none"/>
        </w:rPr>
        <w:t>联合体各成员单位内部的职责分工如下：。</w:t>
      </w:r>
    </w:p>
    <w:p w14:paraId="1A74129D">
      <w:pPr>
        <w:pStyle w:val="51"/>
        <w:tabs>
          <w:tab w:val="left" w:pos="834"/>
        </w:tabs>
        <w:spacing w:line="360" w:lineRule="auto"/>
        <w:ind w:firstLine="480" w:firstLineChars="200"/>
        <w:rPr>
          <w:rFonts w:cs="Times New Roman"/>
          <w:color w:val="auto"/>
          <w:highlight w:val="none"/>
        </w:rPr>
      </w:pPr>
      <w:bookmarkStart w:id="264" w:name="bookmark578"/>
      <w:bookmarkEnd w:id="264"/>
      <w:r>
        <w:rPr>
          <w:color w:val="auto"/>
          <w:sz w:val="24"/>
          <w:szCs w:val="24"/>
          <w:highlight w:val="none"/>
          <w:lang w:val="en-US" w:eastAsia="zh-CN"/>
        </w:rPr>
        <w:t>6.</w:t>
      </w:r>
      <w:r>
        <w:rPr>
          <w:rFonts w:hint="eastAsia"/>
          <w:color w:val="auto"/>
          <w:sz w:val="24"/>
          <w:szCs w:val="24"/>
          <w:highlight w:val="none"/>
        </w:rPr>
        <w:t>本协议书自所有成员单位法定代表人（单位负责人）或其授权的代理人签字并</w:t>
      </w:r>
      <w:r>
        <w:rPr>
          <w:color w:val="auto"/>
          <w:sz w:val="24"/>
          <w:szCs w:val="24"/>
          <w:highlight w:val="none"/>
        </w:rPr>
        <w:t xml:space="preserve"> </w:t>
      </w:r>
      <w:r>
        <w:rPr>
          <w:rFonts w:hint="eastAsia"/>
          <w:color w:val="auto"/>
          <w:sz w:val="24"/>
          <w:szCs w:val="24"/>
          <w:highlight w:val="none"/>
        </w:rPr>
        <w:t>加盖单位章之日起生效，合同履行完毕后自动失效。</w:t>
      </w:r>
    </w:p>
    <w:p w14:paraId="47A6809C">
      <w:pPr>
        <w:pStyle w:val="51"/>
        <w:tabs>
          <w:tab w:val="left" w:pos="736"/>
          <w:tab w:val="left" w:pos="3082"/>
        </w:tabs>
        <w:spacing w:line="360" w:lineRule="auto"/>
        <w:ind w:firstLine="480" w:firstLineChars="200"/>
        <w:jc w:val="left"/>
        <w:rPr>
          <w:rFonts w:cs="Times New Roman"/>
          <w:color w:val="auto"/>
          <w:highlight w:val="none"/>
        </w:rPr>
      </w:pPr>
      <w:bookmarkStart w:id="265" w:name="bookmark579"/>
      <w:bookmarkEnd w:id="265"/>
      <w:r>
        <w:rPr>
          <w:color w:val="auto"/>
          <w:sz w:val="24"/>
          <w:szCs w:val="24"/>
          <w:highlight w:val="none"/>
          <w:lang w:val="en-US" w:eastAsia="zh-CN"/>
        </w:rPr>
        <w:t>7.</w:t>
      </w:r>
      <w:r>
        <w:rPr>
          <w:rFonts w:hint="eastAsia"/>
          <w:color w:val="auto"/>
          <w:sz w:val="24"/>
          <w:szCs w:val="24"/>
          <w:highlight w:val="none"/>
        </w:rPr>
        <w:t>本协议书一式</w:t>
      </w:r>
      <w:r>
        <w:rPr>
          <w:rFonts w:cs="Times New Roman"/>
          <w:color w:val="auto"/>
          <w:highlight w:val="none"/>
          <w:u w:val="single"/>
        </w:rPr>
        <w:tab/>
      </w:r>
      <w:r>
        <w:rPr>
          <w:rFonts w:hint="eastAsia"/>
          <w:color w:val="auto"/>
          <w:sz w:val="24"/>
          <w:szCs w:val="24"/>
          <w:highlight w:val="none"/>
        </w:rPr>
        <w:t>份，联合体成员和</w:t>
      </w:r>
      <w:r>
        <w:rPr>
          <w:rFonts w:hint="eastAsia"/>
          <w:color w:val="auto"/>
          <w:highlight w:val="none"/>
          <w:lang w:val="en-US" w:eastAsia="zh-CN"/>
        </w:rPr>
        <w:t>采购人</w:t>
      </w:r>
      <w:r>
        <w:rPr>
          <w:rFonts w:hint="eastAsia"/>
          <w:color w:val="auto"/>
          <w:sz w:val="24"/>
          <w:szCs w:val="24"/>
          <w:highlight w:val="none"/>
        </w:rPr>
        <w:t>各执一份。</w:t>
      </w:r>
    </w:p>
    <w:p w14:paraId="4B300FB8">
      <w:pPr>
        <w:pStyle w:val="52"/>
        <w:spacing w:after="0" w:line="360" w:lineRule="auto"/>
        <w:ind w:firstLine="360"/>
        <w:jc w:val="left"/>
        <w:rPr>
          <w:rFonts w:cs="Times New Roman"/>
          <w:color w:val="auto"/>
          <w:sz w:val="24"/>
          <w:szCs w:val="24"/>
          <w:highlight w:val="none"/>
        </w:rPr>
      </w:pPr>
      <w:r>
        <w:rPr>
          <w:rFonts w:hint="eastAsia"/>
          <w:color w:val="auto"/>
          <w:highlight w:val="none"/>
        </w:rPr>
        <w:t>（注：本协议书由委托代理人签字的，应附授权委托书。）</w:t>
      </w:r>
    </w:p>
    <w:p w14:paraId="1C6A85FC">
      <w:pPr>
        <w:pStyle w:val="51"/>
        <w:tabs>
          <w:tab w:val="left" w:pos="7337"/>
          <w:tab w:val="left" w:pos="7735"/>
        </w:tabs>
        <w:spacing w:line="360" w:lineRule="auto"/>
        <w:jc w:val="left"/>
        <w:rPr>
          <w:rFonts w:cs="Times New Roman"/>
          <w:color w:val="auto"/>
          <w:sz w:val="24"/>
          <w:szCs w:val="24"/>
          <w:highlight w:val="none"/>
        </w:rPr>
      </w:pPr>
    </w:p>
    <w:p w14:paraId="11939559">
      <w:pPr>
        <w:pStyle w:val="51"/>
        <w:tabs>
          <w:tab w:val="left" w:pos="7337"/>
          <w:tab w:val="left" w:pos="7735"/>
        </w:tabs>
        <w:spacing w:line="360" w:lineRule="auto"/>
        <w:ind w:firstLine="1440" w:firstLineChars="600"/>
        <w:jc w:val="left"/>
        <w:rPr>
          <w:color w:val="auto"/>
          <w:sz w:val="24"/>
          <w:szCs w:val="24"/>
          <w:highlight w:val="none"/>
          <w:u w:val="single"/>
        </w:rPr>
      </w:pPr>
      <w:r>
        <w:rPr>
          <w:rFonts w:hint="eastAsia"/>
          <w:color w:val="auto"/>
          <w:sz w:val="24"/>
          <w:szCs w:val="24"/>
          <w:highlight w:val="none"/>
        </w:rPr>
        <w:t>联合体牵头人名称：</w:t>
      </w:r>
      <w:r>
        <w:rPr>
          <w:rFonts w:hint="eastAsia"/>
          <w:color w:val="auto"/>
          <w:sz w:val="24"/>
          <w:szCs w:val="24"/>
          <w:highlight w:val="none"/>
          <w:u w:val="single"/>
        </w:rPr>
        <w:t>（盖单位章）</w:t>
      </w:r>
      <w:r>
        <w:rPr>
          <w:color w:val="auto"/>
          <w:sz w:val="24"/>
          <w:szCs w:val="24"/>
          <w:highlight w:val="none"/>
          <w:u w:val="single"/>
        </w:rPr>
        <w:t xml:space="preserve"> </w:t>
      </w:r>
    </w:p>
    <w:p w14:paraId="001BB3E3">
      <w:pPr>
        <w:pStyle w:val="51"/>
        <w:tabs>
          <w:tab w:val="left" w:pos="7337"/>
          <w:tab w:val="left" w:pos="7735"/>
        </w:tabs>
        <w:spacing w:line="360" w:lineRule="auto"/>
        <w:ind w:firstLine="1440" w:firstLineChars="600"/>
        <w:jc w:val="left"/>
        <w:rPr>
          <w:rFonts w:cs="Times New Roman"/>
          <w:color w:val="auto"/>
          <w:sz w:val="24"/>
          <w:szCs w:val="24"/>
          <w:highlight w:val="none"/>
        </w:rPr>
      </w:pPr>
      <w:r>
        <w:rPr>
          <w:rFonts w:hint="eastAsia"/>
          <w:color w:val="auto"/>
          <w:sz w:val="24"/>
          <w:szCs w:val="24"/>
          <w:highlight w:val="none"/>
        </w:rPr>
        <w:t>法定代表人（单位负责人）或其授权的代理人：</w:t>
      </w:r>
      <w:r>
        <w:rPr>
          <w:rFonts w:hint="eastAsia"/>
          <w:color w:val="auto"/>
          <w:sz w:val="24"/>
          <w:szCs w:val="24"/>
          <w:highlight w:val="none"/>
          <w:u w:val="single"/>
        </w:rPr>
        <w:t>（签字）</w:t>
      </w:r>
    </w:p>
    <w:p w14:paraId="5B446A05">
      <w:pPr>
        <w:pStyle w:val="51"/>
        <w:tabs>
          <w:tab w:val="left" w:pos="7342"/>
          <w:tab w:val="left" w:pos="7735"/>
        </w:tabs>
        <w:spacing w:line="360" w:lineRule="auto"/>
        <w:ind w:firstLine="1440" w:firstLineChars="600"/>
        <w:jc w:val="left"/>
        <w:rPr>
          <w:color w:val="auto"/>
          <w:sz w:val="24"/>
          <w:szCs w:val="24"/>
          <w:highlight w:val="none"/>
          <w:u w:val="single"/>
        </w:rPr>
      </w:pPr>
      <w:r>
        <w:rPr>
          <w:rFonts w:hint="eastAsia"/>
          <w:color w:val="auto"/>
          <w:sz w:val="24"/>
          <w:szCs w:val="24"/>
          <w:highlight w:val="none"/>
        </w:rPr>
        <w:t>联合体成员名称：</w:t>
      </w:r>
      <w:r>
        <w:rPr>
          <w:rFonts w:hint="eastAsia"/>
          <w:color w:val="auto"/>
          <w:sz w:val="24"/>
          <w:szCs w:val="24"/>
          <w:highlight w:val="none"/>
          <w:u w:val="single"/>
        </w:rPr>
        <w:t>（盖单位章）</w:t>
      </w:r>
      <w:r>
        <w:rPr>
          <w:color w:val="auto"/>
          <w:sz w:val="24"/>
          <w:szCs w:val="24"/>
          <w:highlight w:val="none"/>
          <w:u w:val="single"/>
        </w:rPr>
        <w:t xml:space="preserve"> </w:t>
      </w:r>
    </w:p>
    <w:p w14:paraId="48E32A54">
      <w:pPr>
        <w:pStyle w:val="51"/>
        <w:tabs>
          <w:tab w:val="left" w:pos="7342"/>
          <w:tab w:val="left" w:pos="7735"/>
        </w:tabs>
        <w:spacing w:line="360" w:lineRule="auto"/>
        <w:ind w:firstLine="1440" w:firstLineChars="600"/>
        <w:jc w:val="left"/>
        <w:rPr>
          <w:rFonts w:cs="Times New Roman"/>
          <w:color w:val="auto"/>
          <w:sz w:val="24"/>
          <w:szCs w:val="24"/>
          <w:highlight w:val="none"/>
        </w:rPr>
      </w:pPr>
      <w:r>
        <w:rPr>
          <w:rFonts w:hint="eastAsia"/>
          <w:color w:val="auto"/>
          <w:sz w:val="24"/>
          <w:szCs w:val="24"/>
          <w:highlight w:val="none"/>
        </w:rPr>
        <w:t>法定代表人（单位负责人）或其授权的代理人：</w:t>
      </w:r>
      <w:r>
        <w:rPr>
          <w:rFonts w:hint="eastAsia"/>
          <w:color w:val="auto"/>
          <w:sz w:val="24"/>
          <w:szCs w:val="24"/>
          <w:highlight w:val="none"/>
          <w:u w:val="single"/>
        </w:rPr>
        <w:t>（签字）</w:t>
      </w:r>
    </w:p>
    <w:p w14:paraId="1149EC2F">
      <w:pPr>
        <w:spacing w:line="360" w:lineRule="auto"/>
        <w:ind w:firstLine="5280" w:firstLineChars="2200"/>
        <w:rPr>
          <w:rFonts w:ascii="宋体" w:cs="Times New Roman"/>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18F3B0D7">
      <w:pPr>
        <w:spacing w:line="360" w:lineRule="auto"/>
        <w:rPr>
          <w:rFonts w:ascii="宋体" w:cs="Times New Roman"/>
          <w:color w:val="auto"/>
          <w:sz w:val="36"/>
          <w:szCs w:val="36"/>
          <w:highlight w:val="none"/>
        </w:rPr>
      </w:pPr>
      <w:r>
        <w:rPr>
          <w:rFonts w:ascii="宋体" w:cs="Times New Roman"/>
          <w:color w:val="auto"/>
          <w:sz w:val="24"/>
          <w:szCs w:val="24"/>
          <w:highlight w:val="none"/>
        </w:rPr>
        <w:br w:type="page"/>
      </w:r>
    </w:p>
    <w:p w14:paraId="3699549E">
      <w:pPr>
        <w:pStyle w:val="4"/>
        <w:jc w:val="center"/>
        <w:rPr>
          <w:rFonts w:ascii="宋体" w:cs="Times New Roman"/>
          <w:color w:val="auto"/>
          <w:highlight w:val="none"/>
        </w:rPr>
      </w:pPr>
      <w:r>
        <w:rPr>
          <w:rFonts w:hint="eastAsia" w:ascii="宋体" w:hAnsi="宋体" w:cs="宋体"/>
          <w:color w:val="auto"/>
          <w:highlight w:val="none"/>
        </w:rPr>
        <w:t>四</w:t>
      </w:r>
      <w:bookmarkEnd w:id="255"/>
      <w:r>
        <w:rPr>
          <w:rFonts w:hint="eastAsia" w:ascii="宋体" w:hAnsi="宋体" w:cs="宋体"/>
          <w:color w:val="auto"/>
          <w:highlight w:val="none"/>
        </w:rPr>
        <w:t>、响应保证金</w:t>
      </w:r>
      <w:bookmarkEnd w:id="256"/>
      <w:bookmarkEnd w:id="257"/>
      <w:bookmarkEnd w:id="258"/>
      <w:bookmarkEnd w:id="259"/>
    </w:p>
    <w:p w14:paraId="393889DD">
      <w:pPr>
        <w:pStyle w:val="51"/>
        <w:spacing w:line="360" w:lineRule="auto"/>
        <w:jc w:val="center"/>
        <w:rPr>
          <w:rFonts w:cs="Times New Roman"/>
          <w:color w:val="auto"/>
          <w:sz w:val="24"/>
          <w:szCs w:val="24"/>
          <w:highlight w:val="none"/>
        </w:rPr>
      </w:pPr>
      <w:r>
        <w:rPr>
          <w:rFonts w:hint="eastAsia"/>
          <w:color w:val="auto"/>
          <w:sz w:val="24"/>
          <w:szCs w:val="24"/>
          <w:highlight w:val="none"/>
        </w:rPr>
        <w:t>（适用于递交响应保证金的情况）</w:t>
      </w:r>
    </w:p>
    <w:p w14:paraId="6B9D1B45">
      <w:pPr>
        <w:pStyle w:val="51"/>
        <w:tabs>
          <w:tab w:val="left" w:pos="1216"/>
        </w:tabs>
        <w:spacing w:line="360" w:lineRule="auto"/>
        <w:ind w:firstLine="480" w:firstLineChars="200"/>
        <w:jc w:val="left"/>
        <w:rPr>
          <w:rFonts w:cs="Times New Roman"/>
          <w:color w:val="auto"/>
          <w:highlight w:val="none"/>
        </w:rPr>
      </w:pPr>
      <w:bookmarkStart w:id="266" w:name="bookmark584"/>
      <w:bookmarkEnd w:id="266"/>
      <w:r>
        <w:rPr>
          <w:color w:val="auto"/>
          <w:sz w:val="24"/>
          <w:szCs w:val="24"/>
          <w:highlight w:val="none"/>
          <w:lang w:val="en-US" w:eastAsia="zh-CN"/>
        </w:rPr>
        <w:t>1.</w:t>
      </w:r>
      <w:r>
        <w:rPr>
          <w:rFonts w:hint="eastAsia"/>
          <w:color w:val="auto"/>
          <w:sz w:val="24"/>
          <w:szCs w:val="24"/>
          <w:highlight w:val="none"/>
        </w:rPr>
        <w:t>采用转账方式的，</w:t>
      </w:r>
      <w:r>
        <w:rPr>
          <w:rFonts w:hint="eastAsia"/>
          <w:color w:val="auto"/>
          <w:sz w:val="24"/>
          <w:szCs w:val="24"/>
          <w:highlight w:val="none"/>
          <w:lang w:eastAsia="zh-CN"/>
        </w:rPr>
        <w:t>询比响应人</w:t>
      </w:r>
      <w:r>
        <w:rPr>
          <w:rFonts w:hint="eastAsia"/>
          <w:color w:val="auto"/>
          <w:sz w:val="24"/>
          <w:szCs w:val="24"/>
          <w:highlight w:val="none"/>
        </w:rPr>
        <w:t>应在此提供转账凭证复印件。</w:t>
      </w:r>
    </w:p>
    <w:p w14:paraId="56F0C4E2">
      <w:pPr>
        <w:pStyle w:val="51"/>
        <w:tabs>
          <w:tab w:val="left" w:pos="1253"/>
        </w:tabs>
        <w:spacing w:line="360" w:lineRule="auto"/>
        <w:ind w:firstLine="480" w:firstLineChars="200"/>
        <w:rPr>
          <w:rFonts w:cs="Times New Roman"/>
          <w:color w:val="auto"/>
          <w:highlight w:val="none"/>
        </w:rPr>
      </w:pPr>
      <w:bookmarkStart w:id="267" w:name="bookmark585"/>
      <w:bookmarkEnd w:id="267"/>
      <w:r>
        <w:rPr>
          <w:color w:val="auto"/>
          <w:sz w:val="24"/>
          <w:szCs w:val="24"/>
          <w:highlight w:val="none"/>
          <w:lang w:val="en-US" w:eastAsia="zh-CN"/>
        </w:rPr>
        <w:t>2.</w:t>
      </w:r>
      <w:r>
        <w:rPr>
          <w:rFonts w:hint="eastAsia"/>
          <w:color w:val="auto"/>
          <w:sz w:val="24"/>
          <w:szCs w:val="24"/>
          <w:highlight w:val="none"/>
        </w:rPr>
        <w:t>采用支票、汇票等方式的，</w:t>
      </w:r>
      <w:r>
        <w:rPr>
          <w:rFonts w:hint="eastAsia"/>
          <w:color w:val="auto"/>
          <w:sz w:val="24"/>
          <w:szCs w:val="24"/>
          <w:highlight w:val="none"/>
          <w:lang w:eastAsia="zh-CN"/>
        </w:rPr>
        <w:t>询比响应人</w:t>
      </w:r>
      <w:r>
        <w:rPr>
          <w:rFonts w:hint="eastAsia"/>
          <w:color w:val="auto"/>
          <w:sz w:val="24"/>
          <w:szCs w:val="24"/>
          <w:highlight w:val="none"/>
        </w:rPr>
        <w:t>应在此提供支票、汇票等的复印件，原件应单独递交。</w:t>
      </w:r>
    </w:p>
    <w:p w14:paraId="768FDE80">
      <w:pPr>
        <w:pStyle w:val="51"/>
        <w:tabs>
          <w:tab w:val="left" w:pos="1231"/>
        </w:tabs>
        <w:spacing w:line="360" w:lineRule="auto"/>
        <w:ind w:firstLine="480" w:firstLineChars="200"/>
        <w:jc w:val="left"/>
        <w:rPr>
          <w:rFonts w:cs="Times New Roman"/>
          <w:color w:val="auto"/>
          <w:sz w:val="24"/>
          <w:szCs w:val="24"/>
          <w:highlight w:val="none"/>
        </w:rPr>
      </w:pPr>
      <w:bookmarkStart w:id="268" w:name="bookmark586"/>
      <w:bookmarkEnd w:id="268"/>
      <w:r>
        <w:rPr>
          <w:color w:val="auto"/>
          <w:sz w:val="24"/>
          <w:szCs w:val="24"/>
          <w:highlight w:val="none"/>
          <w:lang w:val="en-US" w:eastAsia="zh-CN"/>
        </w:rPr>
        <w:t>3.</w:t>
      </w:r>
      <w:r>
        <w:rPr>
          <w:rFonts w:hint="eastAsia"/>
          <w:color w:val="auto"/>
          <w:sz w:val="24"/>
          <w:szCs w:val="24"/>
          <w:highlight w:val="none"/>
        </w:rPr>
        <w:t>采用银行或担保机构担保函方式的，格式如下：</w:t>
      </w:r>
    </w:p>
    <w:p w14:paraId="7B919214">
      <w:pPr>
        <w:pStyle w:val="51"/>
        <w:tabs>
          <w:tab w:val="left" w:pos="1360"/>
          <w:tab w:val="left" w:pos="2560"/>
          <w:tab w:val="left" w:pos="3501"/>
          <w:tab w:val="left" w:pos="5152"/>
          <w:tab w:val="left" w:pos="6693"/>
          <w:tab w:val="left" w:pos="9194"/>
          <w:tab w:val="left" w:pos="9467"/>
        </w:tabs>
        <w:spacing w:line="360" w:lineRule="auto"/>
        <w:ind w:firstLine="480" w:firstLineChars="200"/>
        <w:rPr>
          <w:rFonts w:cs="Times New Roman"/>
          <w:color w:val="auto"/>
          <w:highlight w:val="none"/>
          <w:lang w:val="en-US" w:eastAsia="zh-CN"/>
        </w:rPr>
      </w:pPr>
      <w:r>
        <w:rPr>
          <w:rFonts w:hint="eastAsia"/>
          <w:color w:val="auto"/>
          <w:sz w:val="24"/>
          <w:szCs w:val="24"/>
          <w:highlight w:val="none"/>
        </w:rPr>
        <w:t>鉴于</w:t>
      </w:r>
      <w:r>
        <w:rPr>
          <w:rFonts w:cs="Times New Roman"/>
          <w:color w:val="auto"/>
          <w:highlight w:val="none"/>
          <w:u w:val="single"/>
        </w:rPr>
        <w:tab/>
      </w:r>
      <w:r>
        <w:rPr>
          <w:rFonts w:hint="eastAsia"/>
          <w:color w:val="auto"/>
          <w:sz w:val="24"/>
          <w:szCs w:val="24"/>
          <w:highlight w:val="none"/>
          <w:u w:val="single"/>
        </w:rPr>
        <w:t>（</w:t>
      </w:r>
      <w:r>
        <w:rPr>
          <w:rFonts w:hint="eastAsia"/>
          <w:color w:val="auto"/>
          <w:sz w:val="24"/>
          <w:szCs w:val="24"/>
          <w:highlight w:val="none"/>
          <w:u w:val="single"/>
          <w:lang w:eastAsia="zh-CN"/>
        </w:rPr>
        <w:t>询比响应人</w:t>
      </w:r>
      <w:r>
        <w:rPr>
          <w:rFonts w:hint="eastAsia"/>
          <w:color w:val="auto"/>
          <w:sz w:val="24"/>
          <w:szCs w:val="24"/>
          <w:highlight w:val="none"/>
          <w:u w:val="single"/>
        </w:rPr>
        <w:t>名称）</w:t>
      </w:r>
      <w:r>
        <w:rPr>
          <w:rFonts w:hint="eastAsia"/>
          <w:color w:val="auto"/>
          <w:sz w:val="24"/>
          <w:szCs w:val="24"/>
          <w:highlight w:val="none"/>
        </w:rPr>
        <w:t>（以下称</w:t>
      </w:r>
      <w:r>
        <w:rPr>
          <w:rFonts w:hint="eastAsia"/>
          <w:color w:val="auto"/>
          <w:sz w:val="24"/>
          <w:szCs w:val="24"/>
          <w:highlight w:val="none"/>
          <w:lang w:val="zh-CN" w:eastAsia="zh-CN"/>
        </w:rPr>
        <w:t>“询比响应人</w:t>
      </w:r>
      <w:r>
        <w:rPr>
          <w:rFonts w:hint="eastAsia"/>
          <w:color w:val="auto"/>
          <w:sz w:val="24"/>
          <w:szCs w:val="24"/>
          <w:highlight w:val="none"/>
        </w:rPr>
        <w:t>“）于年</w:t>
      </w:r>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lang w:val="en-US" w:eastAsia="zh-CN"/>
        </w:rPr>
        <w:t xml:space="preserve">   </w:t>
      </w:r>
      <w:r>
        <w:rPr>
          <w:rFonts w:hint="eastAsia"/>
          <w:color w:val="auto"/>
          <w:sz w:val="24"/>
          <w:szCs w:val="24"/>
          <w:highlight w:val="none"/>
        </w:rPr>
        <w:t>日参加</w:t>
      </w:r>
      <w:r>
        <w:rPr>
          <w:rFonts w:cs="Times New Roman"/>
          <w:color w:val="auto"/>
          <w:highlight w:val="none"/>
          <w:u w:val="single"/>
        </w:rPr>
        <w:tab/>
      </w:r>
      <w:r>
        <w:rPr>
          <w:rFonts w:hint="eastAsia"/>
          <w:color w:val="auto"/>
          <w:sz w:val="24"/>
          <w:szCs w:val="24"/>
          <w:highlight w:val="none"/>
          <w:u w:val="single"/>
        </w:rPr>
        <w:t>（项目名称）</w:t>
      </w:r>
      <w:r>
        <w:rPr>
          <w:rFonts w:hint="eastAsia"/>
          <w:color w:val="auto"/>
          <w:sz w:val="24"/>
          <w:szCs w:val="24"/>
          <w:highlight w:val="none"/>
          <w:lang w:eastAsia="zh-CN"/>
        </w:rPr>
        <w:t>询比</w:t>
      </w:r>
      <w:r>
        <w:rPr>
          <w:rFonts w:hint="eastAsia"/>
          <w:color w:val="auto"/>
          <w:sz w:val="24"/>
          <w:szCs w:val="24"/>
          <w:highlight w:val="none"/>
        </w:rPr>
        <w:t>采购活动，</w:t>
      </w:r>
      <w:r>
        <w:rPr>
          <w:rFonts w:cs="Times New Roman"/>
          <w:color w:val="auto"/>
          <w:highlight w:val="none"/>
          <w:u w:val="single"/>
        </w:rPr>
        <w:tab/>
      </w:r>
      <w:r>
        <w:rPr>
          <w:rFonts w:hint="eastAsia"/>
          <w:color w:val="auto"/>
          <w:sz w:val="24"/>
          <w:szCs w:val="24"/>
          <w:highlight w:val="none"/>
          <w:u w:val="single"/>
        </w:rPr>
        <w:t>（担保人名称）</w:t>
      </w:r>
      <w:r>
        <w:rPr>
          <w:rFonts w:hint="eastAsia"/>
          <w:color w:val="auto"/>
          <w:sz w:val="24"/>
          <w:szCs w:val="24"/>
          <w:highlight w:val="none"/>
        </w:rPr>
        <w:t>（以下称</w:t>
      </w:r>
      <w:r>
        <w:rPr>
          <w:rFonts w:hint="eastAsia"/>
          <w:color w:val="auto"/>
          <w:sz w:val="24"/>
          <w:szCs w:val="24"/>
          <w:highlight w:val="none"/>
          <w:lang w:val="zh-CN" w:eastAsia="zh-CN"/>
        </w:rPr>
        <w:t>“我</w:t>
      </w:r>
      <w:r>
        <w:rPr>
          <w:rFonts w:hint="eastAsia"/>
          <w:color w:val="auto"/>
          <w:sz w:val="24"/>
          <w:szCs w:val="24"/>
          <w:highlight w:val="none"/>
        </w:rPr>
        <w:t>方”）无条件地、不可撤销地保证：若</w:t>
      </w:r>
      <w:r>
        <w:rPr>
          <w:rFonts w:hint="eastAsia"/>
          <w:color w:val="auto"/>
          <w:sz w:val="24"/>
          <w:szCs w:val="24"/>
          <w:highlight w:val="none"/>
          <w:lang w:eastAsia="zh-CN"/>
        </w:rPr>
        <w:t>询比响应人</w:t>
      </w:r>
      <w:r>
        <w:rPr>
          <w:rFonts w:hint="eastAsia"/>
          <w:color w:val="auto"/>
          <w:sz w:val="24"/>
          <w:szCs w:val="24"/>
          <w:highlight w:val="none"/>
        </w:rPr>
        <w:t>在响应文件有效期内撤销响应文件，或成交后无正当理由不与</w:t>
      </w:r>
      <w:r>
        <w:rPr>
          <w:rFonts w:hint="eastAsia"/>
          <w:color w:val="auto"/>
          <w:sz w:val="24"/>
          <w:szCs w:val="24"/>
          <w:highlight w:val="none"/>
          <w:lang w:val="en-US" w:eastAsia="zh-CN"/>
        </w:rPr>
        <w:t>采购人</w:t>
      </w:r>
      <w:r>
        <w:rPr>
          <w:rFonts w:hint="eastAsia"/>
          <w:color w:val="auto"/>
          <w:sz w:val="24"/>
          <w:szCs w:val="24"/>
          <w:highlight w:val="none"/>
        </w:rPr>
        <w:t>订立合同，或在签订合同时向</w:t>
      </w:r>
      <w:r>
        <w:rPr>
          <w:rFonts w:hint="eastAsia"/>
          <w:color w:val="auto"/>
          <w:highlight w:val="none"/>
          <w:lang w:val="en-US" w:eastAsia="zh-CN"/>
        </w:rPr>
        <w:t>采购人</w:t>
      </w:r>
      <w:r>
        <w:rPr>
          <w:rFonts w:hint="eastAsia"/>
          <w:color w:val="auto"/>
          <w:sz w:val="24"/>
          <w:szCs w:val="24"/>
          <w:highlight w:val="none"/>
        </w:rPr>
        <w:t>提出附加条件，或不按照釆购文件要求递交履约保证金，或者发生采购文件</w:t>
      </w:r>
      <w:r>
        <w:rPr>
          <w:color w:val="auto"/>
          <w:sz w:val="24"/>
          <w:szCs w:val="24"/>
          <w:highlight w:val="none"/>
        </w:rPr>
        <w:t xml:space="preserve"> </w:t>
      </w:r>
      <w:r>
        <w:rPr>
          <w:rFonts w:hint="eastAsia"/>
          <w:color w:val="auto"/>
          <w:sz w:val="24"/>
          <w:szCs w:val="24"/>
          <w:highlight w:val="none"/>
        </w:rPr>
        <w:t>明确规定不予退还响应保证金的其他情形，我方承担保证责任。收到你方书面通知后</w:t>
      </w:r>
      <w:r>
        <w:rPr>
          <w:color w:val="auto"/>
          <w:sz w:val="24"/>
          <w:szCs w:val="24"/>
          <w:highlight w:val="none"/>
        </w:rPr>
        <w:t xml:space="preserve">, </w:t>
      </w:r>
      <w:r>
        <w:rPr>
          <w:rFonts w:hint="eastAsia"/>
          <w:color w:val="auto"/>
          <w:sz w:val="24"/>
          <w:szCs w:val="24"/>
          <w:highlight w:val="none"/>
        </w:rPr>
        <w:t>我方在</w:t>
      </w:r>
      <w:r>
        <w:rPr>
          <w:color w:val="auto"/>
          <w:sz w:val="24"/>
          <w:szCs w:val="24"/>
          <w:highlight w:val="none"/>
        </w:rPr>
        <w:t>7</w:t>
      </w:r>
      <w:r>
        <w:rPr>
          <w:rFonts w:hint="eastAsia"/>
          <w:color w:val="auto"/>
          <w:sz w:val="24"/>
          <w:szCs w:val="24"/>
          <w:highlight w:val="none"/>
        </w:rPr>
        <w:t>日内向你方无条件支付人民币（大写）</w:t>
      </w:r>
      <w:r>
        <w:rPr>
          <w:rFonts w:cs="Times New Roman"/>
          <w:color w:val="auto"/>
          <w:highlight w:val="none"/>
          <w:u w:val="single"/>
        </w:rPr>
        <w:tab/>
      </w:r>
      <w:r>
        <w:rPr>
          <w:rFonts w:hint="eastAsia"/>
          <w:color w:val="auto"/>
          <w:highlight w:val="none"/>
          <w:lang w:val="en-US" w:eastAsia="zh-CN"/>
        </w:rPr>
        <w:t>。</w:t>
      </w:r>
    </w:p>
    <w:p w14:paraId="1B1ACD7E">
      <w:pPr>
        <w:pStyle w:val="51"/>
        <w:spacing w:line="360" w:lineRule="auto"/>
        <w:ind w:firstLine="480" w:firstLineChars="200"/>
        <w:rPr>
          <w:rFonts w:cs="Times New Roman"/>
          <w:color w:val="auto"/>
          <w:highlight w:val="none"/>
        </w:rPr>
      </w:pPr>
      <w:r>
        <w:rPr>
          <w:rFonts w:hint="eastAsia"/>
          <w:color w:val="auto"/>
          <w:sz w:val="24"/>
          <w:szCs w:val="24"/>
          <w:highlight w:val="none"/>
        </w:rPr>
        <w:t>本保函在响应文件有效期内保持有效。要求我方承担保证责任的通知应在响应文件有效期内送达我方。</w:t>
      </w:r>
    </w:p>
    <w:p w14:paraId="6BFF275A">
      <w:pPr>
        <w:spacing w:line="360" w:lineRule="auto"/>
        <w:ind w:firstLine="480" w:firstLineChars="200"/>
        <w:rPr>
          <w:rFonts w:ascii="宋体" w:cs="Times New Roman"/>
          <w:color w:val="auto"/>
          <w:sz w:val="24"/>
          <w:szCs w:val="24"/>
          <w:highlight w:val="none"/>
        </w:rPr>
      </w:pPr>
    </w:p>
    <w:p w14:paraId="71D5E2AF">
      <w:pPr>
        <w:spacing w:line="360" w:lineRule="auto"/>
        <w:ind w:firstLine="480" w:firstLineChars="200"/>
        <w:rPr>
          <w:rFonts w:ascii="宋体" w:cs="Times New Roman"/>
          <w:color w:val="auto"/>
          <w:sz w:val="24"/>
          <w:szCs w:val="24"/>
          <w:highlight w:val="none"/>
        </w:rPr>
      </w:pPr>
    </w:p>
    <w:p w14:paraId="261525B7">
      <w:pPr>
        <w:spacing w:line="360" w:lineRule="auto"/>
        <w:ind w:firstLine="480" w:firstLineChars="200"/>
        <w:rPr>
          <w:rFonts w:ascii="宋体" w:cs="Times New Roman"/>
          <w:color w:val="auto"/>
          <w:sz w:val="24"/>
          <w:szCs w:val="24"/>
          <w:highlight w:val="none"/>
        </w:rPr>
      </w:pPr>
    </w:p>
    <w:p w14:paraId="01291892">
      <w:pPr>
        <w:spacing w:line="360" w:lineRule="auto"/>
        <w:ind w:firstLine="2400" w:firstLineChars="1000"/>
        <w:rPr>
          <w:rFonts w:ascii="宋体" w:cs="Times New Roman"/>
          <w:color w:val="auto"/>
          <w:sz w:val="24"/>
          <w:szCs w:val="24"/>
          <w:highlight w:val="none"/>
          <w:u w:val="single"/>
        </w:rPr>
      </w:pPr>
      <w:r>
        <w:rPr>
          <w:rFonts w:hint="eastAsia" w:ascii="宋体" w:hAnsi="宋体" w:cs="宋体"/>
          <w:color w:val="auto"/>
          <w:sz w:val="24"/>
          <w:szCs w:val="24"/>
          <w:highlight w:val="none"/>
        </w:rPr>
        <w:t>担保人名称：</w:t>
      </w:r>
      <w:r>
        <w:rPr>
          <w:rFonts w:ascii="宋体" w:cs="Times New Roman"/>
          <w:color w:val="auto"/>
          <w:highlight w:val="none"/>
          <w:u w:val="single"/>
        </w:rPr>
        <w:tab/>
      </w:r>
      <w:r>
        <w:rPr>
          <w:rFonts w:hint="eastAsia" w:ascii="宋体" w:hAnsi="宋体" w:cs="宋体"/>
          <w:color w:val="auto"/>
          <w:sz w:val="24"/>
          <w:szCs w:val="24"/>
          <w:highlight w:val="none"/>
          <w:u w:val="single"/>
        </w:rPr>
        <w:t>（盖单位章）</w:t>
      </w:r>
      <w:r>
        <w:rPr>
          <w:rFonts w:ascii="宋体" w:hAnsi="宋体" w:cs="宋体"/>
          <w:color w:val="auto"/>
          <w:sz w:val="24"/>
          <w:szCs w:val="24"/>
          <w:highlight w:val="none"/>
          <w:u w:val="single"/>
        </w:rPr>
        <w:t xml:space="preserve"> </w:t>
      </w:r>
    </w:p>
    <w:p w14:paraId="4C9307FB">
      <w:pPr>
        <w:spacing w:line="360" w:lineRule="auto"/>
        <w:ind w:firstLine="2400" w:firstLineChars="1000"/>
        <w:rPr>
          <w:rFonts w:ascii="宋体" w:cs="Times New Roman"/>
          <w:color w:val="auto"/>
          <w:sz w:val="24"/>
          <w:szCs w:val="24"/>
          <w:highlight w:val="none"/>
        </w:rPr>
      </w:pP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w:t>
      </w:r>
      <w:r>
        <w:rPr>
          <w:rFonts w:ascii="宋体" w:cs="Times New Roman"/>
          <w:color w:val="auto"/>
          <w:highlight w:val="none"/>
          <w:u w:val="single"/>
        </w:rPr>
        <w:tab/>
      </w:r>
    </w:p>
    <w:p w14:paraId="39D62F34">
      <w:pPr>
        <w:spacing w:line="360" w:lineRule="auto"/>
        <w:ind w:firstLine="2400" w:firstLineChars="1000"/>
        <w:rPr>
          <w:rFonts w:ascii="宋体" w:cs="Times New Roman"/>
          <w:color w:val="auto"/>
          <w:sz w:val="24"/>
          <w:szCs w:val="24"/>
          <w:highlight w:val="none"/>
        </w:rPr>
      </w:pPr>
      <w:r>
        <w:rPr>
          <w:rFonts w:hint="eastAsia" w:ascii="宋体" w:hAnsi="宋体" w:cs="宋体"/>
          <w:color w:val="auto"/>
          <w:sz w:val="24"/>
          <w:szCs w:val="24"/>
          <w:highlight w:val="none"/>
        </w:rPr>
        <w:t>邮政编码：</w:t>
      </w:r>
      <w:r>
        <w:rPr>
          <w:rFonts w:ascii="宋体" w:cs="Times New Roman"/>
          <w:color w:val="auto"/>
          <w:highlight w:val="none"/>
          <w:u w:val="single"/>
        </w:rPr>
        <w:tab/>
      </w:r>
    </w:p>
    <w:p w14:paraId="56B02564">
      <w:pPr>
        <w:spacing w:line="360" w:lineRule="auto"/>
        <w:ind w:firstLine="2400" w:firstLineChars="1000"/>
        <w:rPr>
          <w:rFonts w:ascii="宋体" w:cs="Times New Roman"/>
          <w:color w:val="auto"/>
          <w:sz w:val="24"/>
          <w:szCs w:val="24"/>
          <w:highlight w:val="none"/>
          <w:u w:val="single"/>
        </w:rPr>
      </w:pPr>
      <w:r>
        <w:rPr>
          <w:rFonts w:hint="eastAsia" w:ascii="宋体" w:hAnsi="宋体" w:cs="宋体"/>
          <w:color w:val="auto"/>
          <w:sz w:val="24"/>
          <w:szCs w:val="24"/>
          <w:highlight w:val="none"/>
        </w:rPr>
        <w:t>电</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话：</w:t>
      </w:r>
      <w:r>
        <w:rPr>
          <w:rFonts w:ascii="宋体" w:cs="Times New Roman"/>
          <w:color w:val="auto"/>
          <w:highlight w:val="none"/>
          <w:u w:val="single"/>
        </w:rPr>
        <w:tab/>
      </w:r>
    </w:p>
    <w:p w14:paraId="11077E7D">
      <w:pPr>
        <w:spacing w:line="360" w:lineRule="auto"/>
        <w:ind w:firstLine="5280" w:firstLineChars="2200"/>
        <w:rPr>
          <w:rFonts w:ascii="宋体" w:cs="Times New Roman"/>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7200BA85">
      <w:pPr>
        <w:spacing w:line="360" w:lineRule="auto"/>
        <w:rPr>
          <w:rFonts w:ascii="宋体" w:cs="Times New Roman"/>
          <w:color w:val="auto"/>
          <w:sz w:val="36"/>
          <w:szCs w:val="36"/>
          <w:highlight w:val="none"/>
        </w:rPr>
      </w:pPr>
      <w:r>
        <w:rPr>
          <w:rFonts w:ascii="宋体" w:cs="Times New Roman"/>
          <w:color w:val="auto"/>
          <w:sz w:val="24"/>
          <w:szCs w:val="24"/>
          <w:highlight w:val="none"/>
        </w:rPr>
        <w:br w:type="page"/>
      </w:r>
      <w:bookmarkStart w:id="269" w:name="bookmark589"/>
      <w:bookmarkStart w:id="270" w:name="bookmark588"/>
      <w:bookmarkStart w:id="271" w:name="bookmark590"/>
      <w:bookmarkStart w:id="272" w:name="bookmark587"/>
    </w:p>
    <w:bookmarkEnd w:id="269"/>
    <w:p w14:paraId="7639545C">
      <w:pPr>
        <w:pStyle w:val="4"/>
        <w:rPr>
          <w:rFonts w:ascii="宋体" w:cs="Times New Roman"/>
          <w:color w:val="auto"/>
          <w:highlight w:val="none"/>
        </w:rPr>
      </w:pPr>
      <w:bookmarkStart w:id="273" w:name="_Toc25378"/>
      <w:r>
        <w:rPr>
          <w:rFonts w:hint="eastAsia" w:ascii="宋体" w:hAnsi="宋体" w:cs="宋体"/>
          <w:color w:val="auto"/>
          <w:highlight w:val="none"/>
        </w:rPr>
        <w:t>五、商务和技术偏差表</w:t>
      </w:r>
      <w:bookmarkEnd w:id="270"/>
      <w:bookmarkEnd w:id="271"/>
      <w:bookmarkEnd w:id="272"/>
      <w:bookmarkEnd w:id="273"/>
    </w:p>
    <w:tbl>
      <w:tblPr>
        <w:tblStyle w:val="20"/>
        <w:tblW w:w="0" w:type="auto"/>
        <w:tblInd w:w="0" w:type="dxa"/>
        <w:tblLayout w:type="fixed"/>
        <w:tblCellMar>
          <w:top w:w="0" w:type="dxa"/>
          <w:left w:w="10" w:type="dxa"/>
          <w:bottom w:w="0" w:type="dxa"/>
          <w:right w:w="10" w:type="dxa"/>
        </w:tblCellMar>
      </w:tblPr>
      <w:tblGrid>
        <w:gridCol w:w="1220"/>
        <w:gridCol w:w="3341"/>
        <w:gridCol w:w="3336"/>
        <w:gridCol w:w="1841"/>
      </w:tblGrid>
      <w:tr w14:paraId="72F78306">
        <w:tblPrEx>
          <w:tblCellMar>
            <w:top w:w="0" w:type="dxa"/>
            <w:left w:w="10" w:type="dxa"/>
            <w:bottom w:w="0" w:type="dxa"/>
            <w:right w:w="10" w:type="dxa"/>
          </w:tblCellMar>
        </w:tblPrEx>
        <w:trPr>
          <w:trHeight w:val="533" w:hRule="atLeast"/>
        </w:trPr>
        <w:tc>
          <w:tcPr>
            <w:tcW w:w="1220" w:type="dxa"/>
            <w:tcBorders>
              <w:top w:val="single" w:color="auto" w:sz="4" w:space="0"/>
              <w:left w:val="single" w:color="auto" w:sz="4" w:space="0"/>
            </w:tcBorders>
            <w:shd w:val="clear" w:color="auto" w:fill="FFFFFF"/>
            <w:vAlign w:val="center"/>
          </w:tcPr>
          <w:p w14:paraId="43793F5C">
            <w:pPr>
              <w:pStyle w:val="47"/>
              <w:spacing w:line="360" w:lineRule="auto"/>
              <w:jc w:val="center"/>
              <w:rPr>
                <w:rFonts w:cs="Times New Roman"/>
                <w:color w:val="auto"/>
                <w:sz w:val="24"/>
                <w:szCs w:val="24"/>
                <w:highlight w:val="none"/>
              </w:rPr>
            </w:pPr>
            <w:r>
              <w:rPr>
                <w:rFonts w:hint="eastAsia"/>
                <w:color w:val="auto"/>
                <w:sz w:val="24"/>
                <w:szCs w:val="24"/>
                <w:highlight w:val="none"/>
              </w:rPr>
              <w:t>序号</w:t>
            </w:r>
          </w:p>
        </w:tc>
        <w:tc>
          <w:tcPr>
            <w:tcW w:w="3341" w:type="dxa"/>
            <w:tcBorders>
              <w:top w:val="single" w:color="auto" w:sz="4" w:space="0"/>
              <w:left w:val="single" w:color="auto" w:sz="4" w:space="0"/>
            </w:tcBorders>
            <w:shd w:val="clear" w:color="auto" w:fill="FFFFFF"/>
            <w:vAlign w:val="center"/>
          </w:tcPr>
          <w:p w14:paraId="0EE3A9C1">
            <w:pPr>
              <w:pStyle w:val="47"/>
              <w:spacing w:line="360" w:lineRule="auto"/>
              <w:jc w:val="center"/>
              <w:rPr>
                <w:rFonts w:cs="Times New Roman"/>
                <w:color w:val="auto"/>
                <w:sz w:val="24"/>
                <w:szCs w:val="24"/>
                <w:highlight w:val="none"/>
              </w:rPr>
            </w:pPr>
            <w:r>
              <w:rPr>
                <w:rFonts w:hint="eastAsia"/>
                <w:color w:val="auto"/>
                <w:sz w:val="24"/>
                <w:szCs w:val="24"/>
                <w:highlight w:val="none"/>
              </w:rPr>
              <w:t>采购文件章节及条款号</w:t>
            </w:r>
          </w:p>
        </w:tc>
        <w:tc>
          <w:tcPr>
            <w:tcW w:w="3336" w:type="dxa"/>
            <w:tcBorders>
              <w:top w:val="single" w:color="auto" w:sz="4" w:space="0"/>
              <w:left w:val="single" w:color="auto" w:sz="4" w:space="0"/>
            </w:tcBorders>
            <w:shd w:val="clear" w:color="auto" w:fill="FFFFFF"/>
            <w:vAlign w:val="center"/>
          </w:tcPr>
          <w:p w14:paraId="73D44C13">
            <w:pPr>
              <w:pStyle w:val="47"/>
              <w:spacing w:line="360" w:lineRule="auto"/>
              <w:jc w:val="center"/>
              <w:rPr>
                <w:rFonts w:cs="Times New Roman"/>
                <w:color w:val="auto"/>
                <w:sz w:val="24"/>
                <w:szCs w:val="24"/>
                <w:highlight w:val="none"/>
              </w:rPr>
            </w:pPr>
            <w:r>
              <w:rPr>
                <w:rFonts w:hint="eastAsia"/>
                <w:color w:val="auto"/>
                <w:sz w:val="24"/>
                <w:szCs w:val="24"/>
                <w:highlight w:val="none"/>
              </w:rPr>
              <w:t>响应文件章节及条款号</w:t>
            </w:r>
          </w:p>
        </w:tc>
        <w:tc>
          <w:tcPr>
            <w:tcW w:w="1841" w:type="dxa"/>
            <w:tcBorders>
              <w:top w:val="single" w:color="auto" w:sz="4" w:space="0"/>
              <w:left w:val="single" w:color="auto" w:sz="4" w:space="0"/>
              <w:right w:val="single" w:color="auto" w:sz="4" w:space="0"/>
            </w:tcBorders>
            <w:shd w:val="clear" w:color="auto" w:fill="FFFFFF"/>
            <w:vAlign w:val="center"/>
          </w:tcPr>
          <w:p w14:paraId="1C80BA32">
            <w:pPr>
              <w:pStyle w:val="47"/>
              <w:spacing w:line="360" w:lineRule="auto"/>
              <w:jc w:val="center"/>
              <w:rPr>
                <w:rFonts w:cs="Times New Roman"/>
                <w:color w:val="auto"/>
                <w:sz w:val="24"/>
                <w:szCs w:val="24"/>
                <w:highlight w:val="none"/>
              </w:rPr>
            </w:pPr>
            <w:r>
              <w:rPr>
                <w:rFonts w:hint="eastAsia"/>
                <w:color w:val="auto"/>
                <w:sz w:val="24"/>
                <w:szCs w:val="24"/>
                <w:highlight w:val="none"/>
              </w:rPr>
              <w:t>偏差说明</w:t>
            </w:r>
          </w:p>
        </w:tc>
      </w:tr>
      <w:tr w14:paraId="47F971D6">
        <w:tblPrEx>
          <w:tblCellMar>
            <w:top w:w="0" w:type="dxa"/>
            <w:left w:w="10" w:type="dxa"/>
            <w:bottom w:w="0" w:type="dxa"/>
            <w:right w:w="10" w:type="dxa"/>
          </w:tblCellMar>
        </w:tblPrEx>
        <w:trPr>
          <w:trHeight w:val="533" w:hRule="atLeast"/>
        </w:trPr>
        <w:tc>
          <w:tcPr>
            <w:tcW w:w="1220" w:type="dxa"/>
            <w:tcBorders>
              <w:top w:val="single" w:color="auto" w:sz="4" w:space="0"/>
              <w:left w:val="single" w:color="auto" w:sz="4" w:space="0"/>
            </w:tcBorders>
            <w:shd w:val="clear" w:color="auto" w:fill="FFFFFF"/>
            <w:vAlign w:val="center"/>
          </w:tcPr>
          <w:p w14:paraId="28DF41A3">
            <w:pPr>
              <w:pStyle w:val="47"/>
              <w:spacing w:line="360" w:lineRule="auto"/>
              <w:jc w:val="center"/>
              <w:rPr>
                <w:color w:val="auto"/>
                <w:sz w:val="24"/>
                <w:szCs w:val="24"/>
                <w:highlight w:val="none"/>
              </w:rPr>
            </w:pPr>
            <w:r>
              <w:rPr>
                <w:color w:val="auto"/>
                <w:sz w:val="24"/>
                <w:szCs w:val="24"/>
                <w:highlight w:val="none"/>
              </w:rPr>
              <w:t>1</w:t>
            </w:r>
          </w:p>
        </w:tc>
        <w:tc>
          <w:tcPr>
            <w:tcW w:w="3341" w:type="dxa"/>
            <w:tcBorders>
              <w:top w:val="single" w:color="auto" w:sz="4" w:space="0"/>
              <w:left w:val="single" w:color="auto" w:sz="4" w:space="0"/>
            </w:tcBorders>
            <w:shd w:val="clear" w:color="auto" w:fill="FFFFFF"/>
            <w:vAlign w:val="center"/>
          </w:tcPr>
          <w:p w14:paraId="73DE1867">
            <w:pPr>
              <w:spacing w:line="360" w:lineRule="auto"/>
              <w:jc w:val="center"/>
              <w:rPr>
                <w:rFonts w:ascii="宋体" w:cs="Times New Roman"/>
                <w:color w:val="auto"/>
                <w:sz w:val="24"/>
                <w:szCs w:val="24"/>
                <w:highlight w:val="none"/>
              </w:rPr>
            </w:pPr>
          </w:p>
        </w:tc>
        <w:tc>
          <w:tcPr>
            <w:tcW w:w="3336" w:type="dxa"/>
            <w:tcBorders>
              <w:top w:val="single" w:color="auto" w:sz="4" w:space="0"/>
              <w:left w:val="single" w:color="auto" w:sz="4" w:space="0"/>
            </w:tcBorders>
            <w:shd w:val="clear" w:color="auto" w:fill="FFFFFF"/>
            <w:vAlign w:val="center"/>
          </w:tcPr>
          <w:p w14:paraId="6A262EF9">
            <w:pPr>
              <w:spacing w:line="360" w:lineRule="auto"/>
              <w:jc w:val="center"/>
              <w:rPr>
                <w:rFonts w:ascii="宋体" w:cs="Times New Roman"/>
                <w:color w:val="auto"/>
                <w:sz w:val="24"/>
                <w:szCs w:val="24"/>
                <w:highlight w:val="none"/>
              </w:rPr>
            </w:pPr>
          </w:p>
        </w:tc>
        <w:tc>
          <w:tcPr>
            <w:tcW w:w="1841" w:type="dxa"/>
            <w:tcBorders>
              <w:top w:val="single" w:color="auto" w:sz="4" w:space="0"/>
              <w:left w:val="single" w:color="auto" w:sz="4" w:space="0"/>
              <w:right w:val="single" w:color="auto" w:sz="4" w:space="0"/>
            </w:tcBorders>
            <w:shd w:val="clear" w:color="auto" w:fill="FFFFFF"/>
            <w:vAlign w:val="center"/>
          </w:tcPr>
          <w:p w14:paraId="1CE58DAE">
            <w:pPr>
              <w:spacing w:line="360" w:lineRule="auto"/>
              <w:jc w:val="center"/>
              <w:rPr>
                <w:rFonts w:ascii="宋体" w:cs="Times New Roman"/>
                <w:color w:val="auto"/>
                <w:sz w:val="24"/>
                <w:szCs w:val="24"/>
                <w:highlight w:val="none"/>
              </w:rPr>
            </w:pPr>
          </w:p>
        </w:tc>
      </w:tr>
      <w:tr w14:paraId="13B957E5">
        <w:tblPrEx>
          <w:tblCellMar>
            <w:top w:w="0" w:type="dxa"/>
            <w:left w:w="10" w:type="dxa"/>
            <w:bottom w:w="0" w:type="dxa"/>
            <w:right w:w="10" w:type="dxa"/>
          </w:tblCellMar>
        </w:tblPrEx>
        <w:trPr>
          <w:trHeight w:val="533" w:hRule="atLeast"/>
        </w:trPr>
        <w:tc>
          <w:tcPr>
            <w:tcW w:w="1220" w:type="dxa"/>
            <w:tcBorders>
              <w:top w:val="single" w:color="auto" w:sz="4" w:space="0"/>
              <w:left w:val="single" w:color="auto" w:sz="4" w:space="0"/>
            </w:tcBorders>
            <w:shd w:val="clear" w:color="auto" w:fill="FFFFFF"/>
            <w:vAlign w:val="center"/>
          </w:tcPr>
          <w:p w14:paraId="2A59CC24">
            <w:pPr>
              <w:pStyle w:val="47"/>
              <w:spacing w:line="360" w:lineRule="auto"/>
              <w:ind w:firstLine="140"/>
              <w:jc w:val="center"/>
              <w:rPr>
                <w:color w:val="auto"/>
                <w:sz w:val="24"/>
                <w:szCs w:val="24"/>
                <w:highlight w:val="none"/>
              </w:rPr>
            </w:pPr>
            <w:r>
              <w:rPr>
                <w:color w:val="auto"/>
                <w:sz w:val="24"/>
                <w:szCs w:val="24"/>
                <w:highlight w:val="none"/>
              </w:rPr>
              <w:t>2</w:t>
            </w:r>
          </w:p>
        </w:tc>
        <w:tc>
          <w:tcPr>
            <w:tcW w:w="3341" w:type="dxa"/>
            <w:tcBorders>
              <w:top w:val="single" w:color="auto" w:sz="4" w:space="0"/>
              <w:left w:val="single" w:color="auto" w:sz="4" w:space="0"/>
            </w:tcBorders>
            <w:shd w:val="clear" w:color="auto" w:fill="FFFFFF"/>
            <w:vAlign w:val="center"/>
          </w:tcPr>
          <w:p w14:paraId="2F58D8DA">
            <w:pPr>
              <w:spacing w:line="360" w:lineRule="auto"/>
              <w:jc w:val="center"/>
              <w:rPr>
                <w:rFonts w:ascii="宋体" w:cs="Times New Roman"/>
                <w:color w:val="auto"/>
                <w:sz w:val="24"/>
                <w:szCs w:val="24"/>
                <w:highlight w:val="none"/>
              </w:rPr>
            </w:pPr>
          </w:p>
        </w:tc>
        <w:tc>
          <w:tcPr>
            <w:tcW w:w="3336" w:type="dxa"/>
            <w:tcBorders>
              <w:top w:val="single" w:color="auto" w:sz="4" w:space="0"/>
              <w:left w:val="single" w:color="auto" w:sz="4" w:space="0"/>
            </w:tcBorders>
            <w:shd w:val="clear" w:color="auto" w:fill="FFFFFF"/>
            <w:vAlign w:val="center"/>
          </w:tcPr>
          <w:p w14:paraId="12133330">
            <w:pPr>
              <w:spacing w:line="360" w:lineRule="auto"/>
              <w:jc w:val="center"/>
              <w:rPr>
                <w:rFonts w:ascii="宋体" w:cs="Times New Roman"/>
                <w:color w:val="auto"/>
                <w:sz w:val="24"/>
                <w:szCs w:val="24"/>
                <w:highlight w:val="none"/>
              </w:rPr>
            </w:pPr>
          </w:p>
        </w:tc>
        <w:tc>
          <w:tcPr>
            <w:tcW w:w="1841" w:type="dxa"/>
            <w:tcBorders>
              <w:top w:val="single" w:color="auto" w:sz="4" w:space="0"/>
              <w:left w:val="single" w:color="auto" w:sz="4" w:space="0"/>
              <w:right w:val="single" w:color="auto" w:sz="4" w:space="0"/>
            </w:tcBorders>
            <w:shd w:val="clear" w:color="auto" w:fill="FFFFFF"/>
            <w:vAlign w:val="center"/>
          </w:tcPr>
          <w:p w14:paraId="09189CE1">
            <w:pPr>
              <w:spacing w:line="360" w:lineRule="auto"/>
              <w:jc w:val="center"/>
              <w:rPr>
                <w:rFonts w:ascii="宋体" w:cs="Times New Roman"/>
                <w:color w:val="auto"/>
                <w:sz w:val="24"/>
                <w:szCs w:val="24"/>
                <w:highlight w:val="none"/>
              </w:rPr>
            </w:pPr>
          </w:p>
        </w:tc>
      </w:tr>
      <w:tr w14:paraId="1B665528">
        <w:tblPrEx>
          <w:tblCellMar>
            <w:top w:w="0" w:type="dxa"/>
            <w:left w:w="10" w:type="dxa"/>
            <w:bottom w:w="0" w:type="dxa"/>
            <w:right w:w="10" w:type="dxa"/>
          </w:tblCellMar>
        </w:tblPrEx>
        <w:trPr>
          <w:trHeight w:val="533" w:hRule="atLeast"/>
        </w:trPr>
        <w:tc>
          <w:tcPr>
            <w:tcW w:w="1220" w:type="dxa"/>
            <w:tcBorders>
              <w:top w:val="single" w:color="auto" w:sz="4" w:space="0"/>
              <w:left w:val="single" w:color="auto" w:sz="4" w:space="0"/>
            </w:tcBorders>
            <w:shd w:val="clear" w:color="auto" w:fill="FFFFFF"/>
            <w:vAlign w:val="center"/>
          </w:tcPr>
          <w:p w14:paraId="6C10C151">
            <w:pPr>
              <w:pStyle w:val="47"/>
              <w:spacing w:line="360" w:lineRule="auto"/>
              <w:jc w:val="center"/>
              <w:rPr>
                <w:color w:val="auto"/>
                <w:sz w:val="24"/>
                <w:szCs w:val="24"/>
                <w:highlight w:val="none"/>
              </w:rPr>
            </w:pPr>
            <w:r>
              <w:rPr>
                <w:color w:val="auto"/>
                <w:sz w:val="24"/>
                <w:szCs w:val="24"/>
                <w:highlight w:val="none"/>
              </w:rPr>
              <w:t>3</w:t>
            </w:r>
          </w:p>
        </w:tc>
        <w:tc>
          <w:tcPr>
            <w:tcW w:w="3341" w:type="dxa"/>
            <w:tcBorders>
              <w:top w:val="single" w:color="auto" w:sz="4" w:space="0"/>
              <w:left w:val="single" w:color="auto" w:sz="4" w:space="0"/>
            </w:tcBorders>
            <w:shd w:val="clear" w:color="auto" w:fill="FFFFFF"/>
            <w:vAlign w:val="center"/>
          </w:tcPr>
          <w:p w14:paraId="158E6874">
            <w:pPr>
              <w:spacing w:line="360" w:lineRule="auto"/>
              <w:jc w:val="center"/>
              <w:rPr>
                <w:rFonts w:ascii="宋体" w:cs="Times New Roman"/>
                <w:color w:val="auto"/>
                <w:sz w:val="24"/>
                <w:szCs w:val="24"/>
                <w:highlight w:val="none"/>
              </w:rPr>
            </w:pPr>
          </w:p>
        </w:tc>
        <w:tc>
          <w:tcPr>
            <w:tcW w:w="3336" w:type="dxa"/>
            <w:tcBorders>
              <w:top w:val="single" w:color="auto" w:sz="4" w:space="0"/>
              <w:left w:val="single" w:color="auto" w:sz="4" w:space="0"/>
            </w:tcBorders>
            <w:shd w:val="clear" w:color="auto" w:fill="FFFFFF"/>
            <w:vAlign w:val="center"/>
          </w:tcPr>
          <w:p w14:paraId="40E24848">
            <w:pPr>
              <w:spacing w:line="360" w:lineRule="auto"/>
              <w:jc w:val="center"/>
              <w:rPr>
                <w:rFonts w:ascii="宋体" w:cs="Times New Roman"/>
                <w:color w:val="auto"/>
                <w:sz w:val="24"/>
                <w:szCs w:val="24"/>
                <w:highlight w:val="none"/>
              </w:rPr>
            </w:pPr>
          </w:p>
        </w:tc>
        <w:tc>
          <w:tcPr>
            <w:tcW w:w="1841" w:type="dxa"/>
            <w:tcBorders>
              <w:top w:val="single" w:color="auto" w:sz="4" w:space="0"/>
              <w:left w:val="single" w:color="auto" w:sz="4" w:space="0"/>
              <w:right w:val="single" w:color="auto" w:sz="4" w:space="0"/>
            </w:tcBorders>
            <w:shd w:val="clear" w:color="auto" w:fill="FFFFFF"/>
            <w:vAlign w:val="center"/>
          </w:tcPr>
          <w:p w14:paraId="5FC47F9F">
            <w:pPr>
              <w:spacing w:line="360" w:lineRule="auto"/>
              <w:jc w:val="center"/>
              <w:rPr>
                <w:rFonts w:ascii="宋体" w:cs="Times New Roman"/>
                <w:color w:val="auto"/>
                <w:sz w:val="24"/>
                <w:szCs w:val="24"/>
                <w:highlight w:val="none"/>
              </w:rPr>
            </w:pPr>
          </w:p>
        </w:tc>
      </w:tr>
      <w:tr w14:paraId="6A5B9E2E">
        <w:tblPrEx>
          <w:tblCellMar>
            <w:top w:w="0" w:type="dxa"/>
            <w:left w:w="10" w:type="dxa"/>
            <w:bottom w:w="0" w:type="dxa"/>
            <w:right w:w="10" w:type="dxa"/>
          </w:tblCellMar>
        </w:tblPrEx>
        <w:trPr>
          <w:trHeight w:val="533" w:hRule="atLeast"/>
        </w:trPr>
        <w:tc>
          <w:tcPr>
            <w:tcW w:w="1220" w:type="dxa"/>
            <w:tcBorders>
              <w:top w:val="single" w:color="auto" w:sz="4" w:space="0"/>
              <w:left w:val="single" w:color="auto" w:sz="4" w:space="0"/>
            </w:tcBorders>
            <w:shd w:val="clear" w:color="auto" w:fill="FFFFFF"/>
            <w:vAlign w:val="center"/>
          </w:tcPr>
          <w:p w14:paraId="434339F7">
            <w:pPr>
              <w:pStyle w:val="47"/>
              <w:spacing w:line="360" w:lineRule="auto"/>
              <w:jc w:val="center"/>
              <w:rPr>
                <w:color w:val="auto"/>
                <w:sz w:val="24"/>
                <w:szCs w:val="24"/>
                <w:highlight w:val="none"/>
              </w:rPr>
            </w:pPr>
            <w:r>
              <w:rPr>
                <w:color w:val="auto"/>
                <w:sz w:val="24"/>
                <w:szCs w:val="24"/>
                <w:highlight w:val="none"/>
              </w:rPr>
              <w:t>4</w:t>
            </w:r>
          </w:p>
        </w:tc>
        <w:tc>
          <w:tcPr>
            <w:tcW w:w="3341" w:type="dxa"/>
            <w:tcBorders>
              <w:top w:val="single" w:color="auto" w:sz="4" w:space="0"/>
              <w:left w:val="single" w:color="auto" w:sz="4" w:space="0"/>
            </w:tcBorders>
            <w:shd w:val="clear" w:color="auto" w:fill="FFFFFF"/>
            <w:vAlign w:val="center"/>
          </w:tcPr>
          <w:p w14:paraId="351BAC72">
            <w:pPr>
              <w:spacing w:line="360" w:lineRule="auto"/>
              <w:jc w:val="center"/>
              <w:rPr>
                <w:rFonts w:ascii="宋体" w:cs="Times New Roman"/>
                <w:color w:val="auto"/>
                <w:sz w:val="24"/>
                <w:szCs w:val="24"/>
                <w:highlight w:val="none"/>
              </w:rPr>
            </w:pPr>
          </w:p>
        </w:tc>
        <w:tc>
          <w:tcPr>
            <w:tcW w:w="3336" w:type="dxa"/>
            <w:tcBorders>
              <w:top w:val="single" w:color="auto" w:sz="4" w:space="0"/>
              <w:left w:val="single" w:color="auto" w:sz="4" w:space="0"/>
            </w:tcBorders>
            <w:shd w:val="clear" w:color="auto" w:fill="FFFFFF"/>
            <w:vAlign w:val="center"/>
          </w:tcPr>
          <w:p w14:paraId="480FC99C">
            <w:pPr>
              <w:spacing w:line="360" w:lineRule="auto"/>
              <w:jc w:val="center"/>
              <w:rPr>
                <w:rFonts w:ascii="宋体" w:cs="Times New Roman"/>
                <w:color w:val="auto"/>
                <w:sz w:val="24"/>
                <w:szCs w:val="24"/>
                <w:highlight w:val="none"/>
              </w:rPr>
            </w:pPr>
          </w:p>
        </w:tc>
        <w:tc>
          <w:tcPr>
            <w:tcW w:w="1841" w:type="dxa"/>
            <w:tcBorders>
              <w:top w:val="single" w:color="auto" w:sz="4" w:space="0"/>
              <w:left w:val="single" w:color="auto" w:sz="4" w:space="0"/>
              <w:right w:val="single" w:color="auto" w:sz="4" w:space="0"/>
            </w:tcBorders>
            <w:shd w:val="clear" w:color="auto" w:fill="FFFFFF"/>
            <w:vAlign w:val="center"/>
          </w:tcPr>
          <w:p w14:paraId="6F0F9452">
            <w:pPr>
              <w:spacing w:line="360" w:lineRule="auto"/>
              <w:jc w:val="center"/>
              <w:rPr>
                <w:rFonts w:ascii="宋体" w:cs="Times New Roman"/>
                <w:color w:val="auto"/>
                <w:sz w:val="24"/>
                <w:szCs w:val="24"/>
                <w:highlight w:val="none"/>
              </w:rPr>
            </w:pPr>
          </w:p>
        </w:tc>
      </w:tr>
      <w:tr w14:paraId="51355A7A">
        <w:tblPrEx>
          <w:tblCellMar>
            <w:top w:w="0" w:type="dxa"/>
            <w:left w:w="10" w:type="dxa"/>
            <w:bottom w:w="0" w:type="dxa"/>
            <w:right w:w="10" w:type="dxa"/>
          </w:tblCellMar>
        </w:tblPrEx>
        <w:trPr>
          <w:trHeight w:val="533" w:hRule="atLeast"/>
        </w:trPr>
        <w:tc>
          <w:tcPr>
            <w:tcW w:w="1220" w:type="dxa"/>
            <w:tcBorders>
              <w:top w:val="single" w:color="auto" w:sz="4" w:space="0"/>
              <w:left w:val="single" w:color="auto" w:sz="4" w:space="0"/>
            </w:tcBorders>
            <w:shd w:val="clear" w:color="auto" w:fill="FFFFFF"/>
            <w:vAlign w:val="center"/>
          </w:tcPr>
          <w:p w14:paraId="74A32EBB">
            <w:pPr>
              <w:pStyle w:val="47"/>
              <w:spacing w:line="360" w:lineRule="auto"/>
              <w:jc w:val="center"/>
              <w:rPr>
                <w:color w:val="auto"/>
                <w:sz w:val="24"/>
                <w:szCs w:val="24"/>
                <w:highlight w:val="none"/>
              </w:rPr>
            </w:pPr>
            <w:r>
              <w:rPr>
                <w:color w:val="auto"/>
                <w:sz w:val="24"/>
                <w:szCs w:val="24"/>
                <w:highlight w:val="none"/>
              </w:rPr>
              <w:t>5</w:t>
            </w:r>
          </w:p>
        </w:tc>
        <w:tc>
          <w:tcPr>
            <w:tcW w:w="3341" w:type="dxa"/>
            <w:tcBorders>
              <w:top w:val="single" w:color="auto" w:sz="4" w:space="0"/>
              <w:left w:val="single" w:color="auto" w:sz="4" w:space="0"/>
            </w:tcBorders>
            <w:shd w:val="clear" w:color="auto" w:fill="FFFFFF"/>
            <w:vAlign w:val="center"/>
          </w:tcPr>
          <w:p w14:paraId="61C59C3C">
            <w:pPr>
              <w:spacing w:line="360" w:lineRule="auto"/>
              <w:jc w:val="center"/>
              <w:rPr>
                <w:rFonts w:ascii="宋体" w:cs="Times New Roman"/>
                <w:color w:val="auto"/>
                <w:sz w:val="24"/>
                <w:szCs w:val="24"/>
                <w:highlight w:val="none"/>
              </w:rPr>
            </w:pPr>
          </w:p>
        </w:tc>
        <w:tc>
          <w:tcPr>
            <w:tcW w:w="3336" w:type="dxa"/>
            <w:tcBorders>
              <w:top w:val="single" w:color="auto" w:sz="4" w:space="0"/>
              <w:left w:val="single" w:color="auto" w:sz="4" w:space="0"/>
            </w:tcBorders>
            <w:shd w:val="clear" w:color="auto" w:fill="FFFFFF"/>
            <w:vAlign w:val="center"/>
          </w:tcPr>
          <w:p w14:paraId="68B09A28">
            <w:pPr>
              <w:spacing w:line="360" w:lineRule="auto"/>
              <w:jc w:val="center"/>
              <w:rPr>
                <w:rFonts w:ascii="宋体" w:cs="Times New Roman"/>
                <w:color w:val="auto"/>
                <w:sz w:val="24"/>
                <w:szCs w:val="24"/>
                <w:highlight w:val="none"/>
              </w:rPr>
            </w:pPr>
          </w:p>
        </w:tc>
        <w:tc>
          <w:tcPr>
            <w:tcW w:w="1841" w:type="dxa"/>
            <w:tcBorders>
              <w:top w:val="single" w:color="auto" w:sz="4" w:space="0"/>
              <w:left w:val="single" w:color="auto" w:sz="4" w:space="0"/>
              <w:right w:val="single" w:color="auto" w:sz="4" w:space="0"/>
            </w:tcBorders>
            <w:shd w:val="clear" w:color="auto" w:fill="FFFFFF"/>
            <w:vAlign w:val="center"/>
          </w:tcPr>
          <w:p w14:paraId="6CDCB5F0">
            <w:pPr>
              <w:spacing w:line="360" w:lineRule="auto"/>
              <w:jc w:val="center"/>
              <w:rPr>
                <w:rFonts w:ascii="宋体" w:cs="Times New Roman"/>
                <w:color w:val="auto"/>
                <w:sz w:val="24"/>
                <w:szCs w:val="24"/>
                <w:highlight w:val="none"/>
              </w:rPr>
            </w:pPr>
          </w:p>
        </w:tc>
      </w:tr>
      <w:tr w14:paraId="4509ADA7">
        <w:tblPrEx>
          <w:tblCellMar>
            <w:top w:w="0" w:type="dxa"/>
            <w:left w:w="10" w:type="dxa"/>
            <w:bottom w:w="0" w:type="dxa"/>
            <w:right w:w="10" w:type="dxa"/>
          </w:tblCellMar>
        </w:tblPrEx>
        <w:trPr>
          <w:trHeight w:val="544" w:hRule="atLeast"/>
        </w:trPr>
        <w:tc>
          <w:tcPr>
            <w:tcW w:w="1220" w:type="dxa"/>
            <w:tcBorders>
              <w:top w:val="single" w:color="auto" w:sz="4" w:space="0"/>
              <w:left w:val="single" w:color="auto" w:sz="4" w:space="0"/>
              <w:bottom w:val="single" w:color="auto" w:sz="4" w:space="0"/>
            </w:tcBorders>
            <w:shd w:val="clear" w:color="auto" w:fill="FFFFFF"/>
            <w:vAlign w:val="center"/>
          </w:tcPr>
          <w:p w14:paraId="06533E11">
            <w:pPr>
              <w:pStyle w:val="47"/>
              <w:tabs>
                <w:tab w:val="left" w:leader="dot" w:pos="374"/>
              </w:tabs>
              <w:spacing w:line="360" w:lineRule="auto"/>
              <w:jc w:val="center"/>
              <w:rPr>
                <w:rFonts w:cs="Times New Roman"/>
                <w:color w:val="auto"/>
                <w:sz w:val="24"/>
                <w:szCs w:val="24"/>
                <w:highlight w:val="none"/>
                <w:lang w:eastAsia="zh-CN"/>
              </w:rPr>
            </w:pPr>
            <w:r>
              <w:rPr>
                <w:rFonts w:hint="eastAsia"/>
                <w:color w:val="auto"/>
                <w:sz w:val="24"/>
                <w:szCs w:val="24"/>
                <w:highlight w:val="none"/>
                <w:lang w:eastAsia="zh-CN"/>
              </w:rPr>
              <w:t>……</w:t>
            </w:r>
          </w:p>
        </w:tc>
        <w:tc>
          <w:tcPr>
            <w:tcW w:w="3341" w:type="dxa"/>
            <w:tcBorders>
              <w:top w:val="single" w:color="auto" w:sz="4" w:space="0"/>
              <w:left w:val="single" w:color="auto" w:sz="4" w:space="0"/>
              <w:bottom w:val="single" w:color="auto" w:sz="4" w:space="0"/>
            </w:tcBorders>
            <w:shd w:val="clear" w:color="auto" w:fill="FFFFFF"/>
            <w:vAlign w:val="center"/>
          </w:tcPr>
          <w:p w14:paraId="73576469">
            <w:pPr>
              <w:spacing w:line="360" w:lineRule="auto"/>
              <w:jc w:val="center"/>
              <w:rPr>
                <w:rFonts w:ascii="宋体" w:cs="Times New Roman"/>
                <w:color w:val="auto"/>
                <w:sz w:val="24"/>
                <w:szCs w:val="24"/>
                <w:highlight w:val="none"/>
              </w:rPr>
            </w:pPr>
          </w:p>
        </w:tc>
        <w:tc>
          <w:tcPr>
            <w:tcW w:w="3336" w:type="dxa"/>
            <w:tcBorders>
              <w:top w:val="single" w:color="auto" w:sz="4" w:space="0"/>
              <w:left w:val="single" w:color="auto" w:sz="4" w:space="0"/>
              <w:bottom w:val="single" w:color="auto" w:sz="4" w:space="0"/>
            </w:tcBorders>
            <w:shd w:val="clear" w:color="auto" w:fill="FFFFFF"/>
            <w:vAlign w:val="center"/>
          </w:tcPr>
          <w:p w14:paraId="71DA9654">
            <w:pPr>
              <w:spacing w:line="360" w:lineRule="auto"/>
              <w:jc w:val="center"/>
              <w:rPr>
                <w:rFonts w:ascii="宋体" w:cs="Times New Roman"/>
                <w:color w:val="auto"/>
                <w:sz w:val="24"/>
                <w:szCs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FFFFFF"/>
            <w:vAlign w:val="center"/>
          </w:tcPr>
          <w:p w14:paraId="2BEC4AC5">
            <w:pPr>
              <w:spacing w:line="360" w:lineRule="auto"/>
              <w:jc w:val="center"/>
              <w:rPr>
                <w:rFonts w:ascii="宋体" w:cs="Times New Roman"/>
                <w:color w:val="auto"/>
                <w:sz w:val="24"/>
                <w:szCs w:val="24"/>
                <w:highlight w:val="none"/>
              </w:rPr>
            </w:pPr>
          </w:p>
        </w:tc>
      </w:tr>
    </w:tbl>
    <w:p w14:paraId="7AB3A340">
      <w:pPr>
        <w:pStyle w:val="51"/>
        <w:spacing w:line="360" w:lineRule="auto"/>
        <w:rPr>
          <w:rFonts w:cs="Times New Roman"/>
          <w:color w:val="auto"/>
          <w:sz w:val="36"/>
          <w:szCs w:val="36"/>
          <w:highlight w:val="none"/>
        </w:rPr>
      </w:pPr>
    </w:p>
    <w:p w14:paraId="1CB4C5ED">
      <w:pPr>
        <w:spacing w:line="360" w:lineRule="auto"/>
        <w:rPr>
          <w:rFonts w:ascii="宋体" w:cs="Times New Roman"/>
          <w:color w:val="auto"/>
          <w:highlight w:val="none"/>
        </w:rPr>
      </w:pPr>
    </w:p>
    <w:p w14:paraId="136B42C2">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询比响应人保证：除商务和技术偏差表列出的偏差外，询比响应人响应采购文件的全部要求。</w:t>
      </w:r>
    </w:p>
    <w:p w14:paraId="5EDF0A27">
      <w:pPr>
        <w:spacing w:line="360" w:lineRule="auto"/>
        <w:rPr>
          <w:rFonts w:ascii="宋体" w:cs="Times New Roman"/>
          <w:color w:val="auto"/>
          <w:sz w:val="24"/>
          <w:szCs w:val="24"/>
          <w:highlight w:val="none"/>
        </w:rPr>
        <w:sectPr>
          <w:type w:val="continuous"/>
          <w:pgSz w:w="11906" w:h="16838"/>
          <w:pgMar w:top="1440" w:right="1080" w:bottom="1440" w:left="1080" w:header="851" w:footer="992" w:gutter="0"/>
          <w:pgBorders w:offsetFrom="page">
            <w:top w:val="single" w:color="000000" w:sz="12" w:space="24"/>
            <w:left w:val="single" w:color="000000" w:sz="12" w:space="24"/>
            <w:bottom w:val="single" w:color="000000" w:sz="12" w:space="24"/>
            <w:right w:val="single" w:color="000000" w:sz="12" w:space="24"/>
          </w:pgBorders>
          <w:cols w:space="425" w:num="1"/>
          <w:docGrid w:type="lines" w:linePitch="312" w:charSpace="0"/>
        </w:sectPr>
      </w:pPr>
    </w:p>
    <w:p w14:paraId="4773C04E">
      <w:pPr>
        <w:spacing w:line="360" w:lineRule="auto"/>
        <w:rPr>
          <w:rFonts w:ascii="宋体" w:cs="Times New Roman"/>
          <w:color w:val="auto"/>
          <w:sz w:val="24"/>
          <w:szCs w:val="24"/>
          <w:highlight w:val="none"/>
        </w:rPr>
      </w:pPr>
      <w:r>
        <w:rPr>
          <w:rFonts w:ascii="宋体" w:cs="Times New Roman"/>
          <w:color w:val="auto"/>
          <w:sz w:val="24"/>
          <w:szCs w:val="24"/>
          <w:highlight w:val="none"/>
        </w:rPr>
        <w:br w:type="page"/>
      </w:r>
    </w:p>
    <w:p w14:paraId="507242F9">
      <w:pPr>
        <w:pStyle w:val="4"/>
        <w:rPr>
          <w:rFonts w:ascii="宋体" w:cs="Times New Roman"/>
          <w:color w:val="auto"/>
          <w:highlight w:val="none"/>
          <w:lang w:eastAsia="en-US"/>
        </w:rPr>
      </w:pPr>
      <w:bookmarkStart w:id="274" w:name="bookmark620"/>
      <w:bookmarkStart w:id="275" w:name="bookmark619"/>
      <w:bookmarkStart w:id="276" w:name="_Toc2078"/>
      <w:bookmarkStart w:id="277" w:name="bookmark618"/>
      <w:r>
        <w:rPr>
          <w:rFonts w:hint="eastAsia" w:ascii="宋体" w:hAnsi="宋体" w:cs="宋体"/>
          <w:color w:val="auto"/>
          <w:highlight w:val="none"/>
        </w:rPr>
        <w:t>七、资格审查资料</w:t>
      </w:r>
      <w:r>
        <w:rPr>
          <w:rFonts w:ascii="宋体" w:hAnsi="宋体" w:cs="宋体"/>
          <w:color w:val="auto"/>
          <w:highlight w:val="none"/>
          <w:lang w:eastAsia="en-US"/>
        </w:rPr>
        <w:t>(C)</w:t>
      </w:r>
      <w:bookmarkEnd w:id="274"/>
      <w:bookmarkEnd w:id="275"/>
      <w:bookmarkEnd w:id="276"/>
      <w:bookmarkEnd w:id="277"/>
    </w:p>
    <w:p w14:paraId="4B7770BE">
      <w:pPr>
        <w:pStyle w:val="3"/>
        <w:numPr>
          <w:ilvl w:val="0"/>
          <w:numId w:val="10"/>
        </w:numPr>
        <w:rPr>
          <w:rFonts w:ascii="宋体" w:cs="Times New Roman"/>
          <w:color w:val="auto"/>
          <w:highlight w:val="none"/>
        </w:rPr>
      </w:pPr>
      <w:bookmarkStart w:id="278" w:name="bookmark621"/>
      <w:bookmarkEnd w:id="278"/>
      <w:bookmarkStart w:id="279" w:name="_Toc2412"/>
      <w:r>
        <w:rPr>
          <w:rFonts w:hint="eastAsia" w:ascii="宋体" w:hAnsi="宋体" w:cs="宋体"/>
          <w:color w:val="auto"/>
          <w:highlight w:val="none"/>
        </w:rPr>
        <w:t>基本情况</w:t>
      </w:r>
      <w:bookmarkEnd w:id="279"/>
    </w:p>
    <w:p w14:paraId="21F77059">
      <w:pPr>
        <w:pStyle w:val="51"/>
        <w:spacing w:line="360" w:lineRule="auto"/>
        <w:ind w:firstLine="480" w:firstLineChars="200"/>
        <w:rPr>
          <w:rFonts w:cs="Times New Roman"/>
          <w:color w:val="auto"/>
          <w:highlight w:val="none"/>
        </w:rPr>
      </w:pPr>
      <w:r>
        <w:rPr>
          <w:rFonts w:hint="eastAsia"/>
          <w:color w:val="auto"/>
          <w:sz w:val="24"/>
          <w:szCs w:val="24"/>
          <w:highlight w:val="none"/>
          <w:lang w:eastAsia="zh-CN"/>
        </w:rPr>
        <w:t>询比响应人</w:t>
      </w:r>
      <w:r>
        <w:rPr>
          <w:rFonts w:hint="eastAsia"/>
          <w:color w:val="auto"/>
          <w:sz w:val="24"/>
          <w:szCs w:val="24"/>
          <w:highlight w:val="none"/>
        </w:rPr>
        <w:t>应根据</w:t>
      </w:r>
      <w:r>
        <w:rPr>
          <w:rFonts w:hint="eastAsia"/>
          <w:color w:val="auto"/>
          <w:sz w:val="24"/>
          <w:szCs w:val="24"/>
          <w:highlight w:val="none"/>
          <w:lang w:eastAsia="zh-CN"/>
        </w:rPr>
        <w:t>询比响应人</w:t>
      </w:r>
      <w:r>
        <w:rPr>
          <w:rFonts w:hint="eastAsia"/>
          <w:color w:val="auto"/>
          <w:sz w:val="24"/>
          <w:szCs w:val="24"/>
          <w:highlight w:val="none"/>
        </w:rPr>
        <w:t>须知前附表第</w:t>
      </w:r>
      <w:r>
        <w:rPr>
          <w:color w:val="auto"/>
          <w:sz w:val="24"/>
          <w:szCs w:val="24"/>
          <w:highlight w:val="none"/>
          <w:lang w:val="en-US" w:eastAsia="zh-CN"/>
        </w:rPr>
        <w:t xml:space="preserve">3. </w:t>
      </w:r>
      <w:r>
        <w:rPr>
          <w:color w:val="auto"/>
          <w:sz w:val="24"/>
          <w:szCs w:val="24"/>
          <w:highlight w:val="none"/>
        </w:rPr>
        <w:t>5 (1)</w:t>
      </w:r>
      <w:r>
        <w:rPr>
          <w:rFonts w:hint="eastAsia"/>
          <w:color w:val="auto"/>
          <w:sz w:val="24"/>
          <w:szCs w:val="24"/>
          <w:highlight w:val="none"/>
        </w:rPr>
        <w:t>项和第</w:t>
      </w:r>
      <w:r>
        <w:rPr>
          <w:color w:val="auto"/>
          <w:sz w:val="24"/>
          <w:szCs w:val="24"/>
          <w:highlight w:val="none"/>
          <w:lang w:val="en-US" w:eastAsia="zh-CN"/>
        </w:rPr>
        <w:t xml:space="preserve">3. </w:t>
      </w:r>
      <w:r>
        <w:rPr>
          <w:color w:val="auto"/>
          <w:sz w:val="24"/>
          <w:szCs w:val="24"/>
          <w:highlight w:val="none"/>
        </w:rPr>
        <w:t>5 (2)</w:t>
      </w:r>
      <w:r>
        <w:rPr>
          <w:rFonts w:hint="eastAsia"/>
          <w:color w:val="auto"/>
          <w:sz w:val="24"/>
          <w:szCs w:val="24"/>
          <w:highlight w:val="none"/>
        </w:rPr>
        <w:t>项的要求提供主体资格证明及相关资质证明材料。</w:t>
      </w:r>
    </w:p>
    <w:p w14:paraId="39A6A682">
      <w:pPr>
        <w:pStyle w:val="51"/>
        <w:spacing w:line="360" w:lineRule="auto"/>
        <w:ind w:firstLine="480"/>
        <w:rPr>
          <w:rFonts w:cs="Times New Roman"/>
          <w:color w:val="auto"/>
          <w:sz w:val="24"/>
          <w:szCs w:val="24"/>
          <w:highlight w:val="none"/>
        </w:rPr>
      </w:pPr>
      <w:r>
        <w:rPr>
          <w:rFonts w:hint="eastAsia"/>
          <w:color w:val="auto"/>
          <w:sz w:val="24"/>
          <w:szCs w:val="24"/>
          <w:highlight w:val="none"/>
          <w:lang w:eastAsia="zh-CN"/>
        </w:rPr>
        <w:t>询比响应人</w:t>
      </w:r>
      <w:r>
        <w:rPr>
          <w:rFonts w:hint="eastAsia"/>
          <w:color w:val="auto"/>
          <w:sz w:val="24"/>
          <w:szCs w:val="24"/>
          <w:highlight w:val="none"/>
        </w:rPr>
        <w:t>还应根据</w:t>
      </w:r>
      <w:r>
        <w:rPr>
          <w:rFonts w:hint="eastAsia"/>
          <w:color w:val="auto"/>
          <w:sz w:val="24"/>
          <w:szCs w:val="24"/>
          <w:highlight w:val="none"/>
          <w:lang w:eastAsia="zh-CN"/>
        </w:rPr>
        <w:t>询比响应人</w:t>
      </w:r>
      <w:r>
        <w:rPr>
          <w:rFonts w:hint="eastAsia"/>
          <w:color w:val="auto"/>
          <w:sz w:val="24"/>
          <w:szCs w:val="24"/>
          <w:highlight w:val="none"/>
        </w:rPr>
        <w:t>须知前附表第</w:t>
      </w:r>
      <w:r>
        <w:rPr>
          <w:color w:val="auto"/>
          <w:sz w:val="24"/>
          <w:szCs w:val="24"/>
          <w:highlight w:val="none"/>
          <w:lang w:val="en-US" w:eastAsia="zh-CN"/>
        </w:rPr>
        <w:t xml:space="preserve">3. </w:t>
      </w:r>
      <w:r>
        <w:rPr>
          <w:color w:val="auto"/>
          <w:sz w:val="24"/>
          <w:szCs w:val="24"/>
          <w:highlight w:val="none"/>
        </w:rPr>
        <w:t>5 (5)</w:t>
      </w:r>
      <w:r>
        <w:rPr>
          <w:rFonts w:hint="eastAsia"/>
          <w:color w:val="auto"/>
          <w:sz w:val="24"/>
          <w:szCs w:val="24"/>
          <w:highlight w:val="none"/>
        </w:rPr>
        <w:t>项、第</w:t>
      </w:r>
      <w:r>
        <w:rPr>
          <w:color w:val="auto"/>
          <w:sz w:val="24"/>
          <w:szCs w:val="24"/>
          <w:highlight w:val="none"/>
          <w:lang w:val="en-US" w:eastAsia="zh-CN"/>
        </w:rPr>
        <w:t xml:space="preserve">3. </w:t>
      </w:r>
      <w:r>
        <w:rPr>
          <w:color w:val="auto"/>
          <w:sz w:val="24"/>
          <w:szCs w:val="24"/>
          <w:highlight w:val="none"/>
        </w:rPr>
        <w:t>5 (7)</w:t>
      </w:r>
      <w:r>
        <w:rPr>
          <w:rFonts w:hint="eastAsia"/>
          <w:color w:val="auto"/>
          <w:sz w:val="24"/>
          <w:szCs w:val="24"/>
          <w:highlight w:val="none"/>
        </w:rPr>
        <w:t>项和第</w:t>
      </w:r>
      <w:r>
        <w:rPr>
          <w:color w:val="auto"/>
          <w:sz w:val="24"/>
          <w:szCs w:val="24"/>
          <w:highlight w:val="none"/>
          <w:lang w:val="en-US" w:eastAsia="zh-CN"/>
        </w:rPr>
        <w:t xml:space="preserve">3. </w:t>
      </w:r>
      <w:r>
        <w:rPr>
          <w:color w:val="auto"/>
          <w:sz w:val="24"/>
          <w:szCs w:val="24"/>
          <w:highlight w:val="none"/>
        </w:rPr>
        <w:t xml:space="preserve">5 (8) </w:t>
      </w:r>
      <w:r>
        <w:rPr>
          <w:rFonts w:hint="eastAsia"/>
          <w:color w:val="auto"/>
          <w:sz w:val="24"/>
          <w:szCs w:val="24"/>
          <w:highlight w:val="none"/>
        </w:rPr>
        <w:t>项的要求提供其他相关证明材料。</w:t>
      </w:r>
    </w:p>
    <w:p w14:paraId="25397C44">
      <w:pPr>
        <w:spacing w:line="360" w:lineRule="auto"/>
        <w:rPr>
          <w:rFonts w:ascii="宋体" w:cs="Times New Roman"/>
          <w:color w:val="auto"/>
          <w:sz w:val="24"/>
          <w:szCs w:val="24"/>
          <w:highlight w:val="none"/>
        </w:rPr>
      </w:pPr>
      <w:r>
        <w:rPr>
          <w:rFonts w:ascii="宋体" w:cs="Times New Roman"/>
          <w:color w:val="auto"/>
          <w:sz w:val="24"/>
          <w:szCs w:val="24"/>
          <w:highlight w:val="none"/>
        </w:rPr>
        <w:br w:type="page"/>
      </w:r>
    </w:p>
    <w:p w14:paraId="332F2583">
      <w:pPr>
        <w:pStyle w:val="3"/>
        <w:numPr>
          <w:ilvl w:val="0"/>
          <w:numId w:val="10"/>
        </w:numPr>
        <w:rPr>
          <w:rFonts w:ascii="宋体" w:cs="Times New Roman"/>
          <w:color w:val="auto"/>
          <w:highlight w:val="none"/>
        </w:rPr>
      </w:pPr>
      <w:bookmarkStart w:id="280" w:name="bookmark622"/>
      <w:bookmarkEnd w:id="280"/>
      <w:bookmarkStart w:id="281" w:name="_Toc22300"/>
      <w:r>
        <w:rPr>
          <w:rFonts w:hint="eastAsia" w:ascii="宋体" w:hAnsi="宋体" w:cs="宋体"/>
          <w:color w:val="auto"/>
          <w:highlight w:val="none"/>
        </w:rPr>
        <w:t>近年财务状况</w:t>
      </w:r>
      <w:bookmarkEnd w:id="281"/>
    </w:p>
    <w:p w14:paraId="0C737C45">
      <w:pPr>
        <w:pStyle w:val="51"/>
        <w:spacing w:line="360" w:lineRule="auto"/>
        <w:ind w:firstLine="480"/>
        <w:rPr>
          <w:rFonts w:cs="Times New Roman"/>
          <w:color w:val="auto"/>
          <w:sz w:val="24"/>
          <w:szCs w:val="24"/>
          <w:highlight w:val="none"/>
        </w:rPr>
      </w:pPr>
      <w:r>
        <w:rPr>
          <w:rFonts w:hint="eastAsia"/>
          <w:color w:val="auto"/>
          <w:sz w:val="24"/>
          <w:szCs w:val="24"/>
          <w:highlight w:val="none"/>
          <w:lang w:eastAsia="zh-CN"/>
        </w:rPr>
        <w:t>询比响应人</w:t>
      </w:r>
      <w:r>
        <w:rPr>
          <w:rFonts w:hint="eastAsia"/>
          <w:color w:val="auto"/>
          <w:sz w:val="24"/>
          <w:szCs w:val="24"/>
          <w:highlight w:val="none"/>
        </w:rPr>
        <w:t>应根据</w:t>
      </w:r>
      <w:r>
        <w:rPr>
          <w:rFonts w:hint="eastAsia"/>
          <w:color w:val="auto"/>
          <w:sz w:val="24"/>
          <w:szCs w:val="24"/>
          <w:highlight w:val="none"/>
          <w:lang w:eastAsia="zh-CN"/>
        </w:rPr>
        <w:t>询比响应人</w:t>
      </w:r>
      <w:r>
        <w:rPr>
          <w:rFonts w:hint="eastAsia"/>
          <w:color w:val="auto"/>
          <w:sz w:val="24"/>
          <w:szCs w:val="24"/>
          <w:highlight w:val="none"/>
        </w:rPr>
        <w:t>须知前附表第</w:t>
      </w:r>
      <w:r>
        <w:rPr>
          <w:color w:val="auto"/>
          <w:sz w:val="24"/>
          <w:szCs w:val="24"/>
          <w:highlight w:val="none"/>
          <w:lang w:val="en-US" w:eastAsia="zh-CN"/>
        </w:rPr>
        <w:t xml:space="preserve">3. </w:t>
      </w:r>
      <w:r>
        <w:rPr>
          <w:color w:val="auto"/>
          <w:sz w:val="24"/>
          <w:szCs w:val="24"/>
          <w:highlight w:val="none"/>
        </w:rPr>
        <w:t>5 (3)</w:t>
      </w:r>
      <w:r>
        <w:rPr>
          <w:rFonts w:hint="eastAsia"/>
          <w:color w:val="auto"/>
          <w:sz w:val="24"/>
          <w:szCs w:val="24"/>
          <w:highlight w:val="none"/>
        </w:rPr>
        <w:t>项的要求提供近年财务会计报表复印件。</w:t>
      </w:r>
    </w:p>
    <w:p w14:paraId="236CBD1E">
      <w:pPr>
        <w:spacing w:line="360" w:lineRule="auto"/>
        <w:rPr>
          <w:rFonts w:ascii="宋体" w:cs="Times New Roman"/>
          <w:color w:val="auto"/>
          <w:sz w:val="24"/>
          <w:szCs w:val="24"/>
          <w:highlight w:val="none"/>
        </w:rPr>
      </w:pPr>
      <w:r>
        <w:rPr>
          <w:rFonts w:ascii="宋体" w:cs="Times New Roman"/>
          <w:color w:val="auto"/>
          <w:sz w:val="24"/>
          <w:szCs w:val="24"/>
          <w:highlight w:val="none"/>
        </w:rPr>
        <w:br w:type="page"/>
      </w:r>
    </w:p>
    <w:p w14:paraId="36EB6C4C">
      <w:pPr>
        <w:pStyle w:val="4"/>
        <w:numPr>
          <w:ilvl w:val="0"/>
          <w:numId w:val="11"/>
        </w:numPr>
        <w:bidi w:val="0"/>
        <w:rPr>
          <w:rFonts w:hint="eastAsia"/>
          <w:color w:val="auto"/>
          <w:lang w:val="en-US" w:eastAsia="zh-CN"/>
        </w:rPr>
      </w:pPr>
      <w:bookmarkStart w:id="282" w:name="bookmark623"/>
      <w:bookmarkEnd w:id="282"/>
      <w:bookmarkStart w:id="283" w:name="_Toc20321"/>
      <w:bookmarkStart w:id="284" w:name="_Toc15534"/>
      <w:r>
        <w:rPr>
          <w:rFonts w:hint="eastAsia"/>
          <w:color w:val="auto"/>
          <w:lang w:val="en-US" w:eastAsia="zh-CN"/>
        </w:rPr>
        <w:t>服务响应表</w:t>
      </w:r>
      <w:bookmarkEnd w:id="283"/>
    </w:p>
    <w:p w14:paraId="21350002">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p>
    <w:p w14:paraId="316F01B1">
      <w:pPr>
        <w:keepNext w:val="0"/>
        <w:keepLines w:val="0"/>
        <w:widowControl/>
        <w:suppressLineNumbers w:val="0"/>
        <w:jc w:val="center"/>
        <w:rPr>
          <w:color w:val="auto"/>
        </w:rPr>
      </w:pPr>
      <w:r>
        <w:rPr>
          <w:rFonts w:hint="eastAsia" w:ascii="宋体" w:hAnsi="宋体" w:eastAsia="宋体" w:cs="宋体"/>
          <w:b/>
          <w:bCs/>
          <w:color w:val="auto"/>
          <w:kern w:val="0"/>
          <w:sz w:val="28"/>
          <w:szCs w:val="28"/>
          <w:lang w:val="en-US" w:eastAsia="zh-CN" w:bidi="ar"/>
        </w:rPr>
        <w:t>服务要求响应表</w:t>
      </w:r>
    </w:p>
    <w:p w14:paraId="7E75E2AA">
      <w:pPr>
        <w:keepNext w:val="0"/>
        <w:keepLines w:val="0"/>
        <w:widowControl/>
        <w:suppressLineNumbers w:val="0"/>
        <w:ind w:firstLine="240" w:firstLineChars="1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项目名称：</w:t>
      </w:r>
      <w:r>
        <w:rPr>
          <w:rFonts w:hint="eastAsia" w:ascii="宋体" w:hAnsi="宋体" w:cs="宋体"/>
          <w:color w:val="auto"/>
          <w:kern w:val="0"/>
          <w:sz w:val="24"/>
          <w:szCs w:val="24"/>
          <w:lang w:val="en-US" w:eastAsia="zh-CN" w:bidi="ar"/>
        </w:rPr>
        <w:t xml:space="preserve">                                                    </w:t>
      </w:r>
      <w:r>
        <w:rPr>
          <w:rFonts w:hint="eastAsia" w:ascii="宋体" w:hAnsi="宋体" w:eastAsia="宋体" w:cs="宋体"/>
          <w:color w:val="auto"/>
          <w:kern w:val="0"/>
          <w:sz w:val="24"/>
          <w:szCs w:val="24"/>
          <w:lang w:val="en-US" w:eastAsia="zh-CN" w:bidi="ar"/>
        </w:rPr>
        <w:t>采购项目编号：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4004"/>
        <w:gridCol w:w="2365"/>
        <w:gridCol w:w="2365"/>
      </w:tblGrid>
      <w:tr w14:paraId="2660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24" w:type="dxa"/>
          </w:tcPr>
          <w:p w14:paraId="0BEB32AE">
            <w:pPr>
              <w:bidi w:val="0"/>
              <w:spacing w:line="360" w:lineRule="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4004" w:type="dxa"/>
          </w:tcPr>
          <w:p w14:paraId="24B63654">
            <w:pPr>
              <w:keepNext w:val="0"/>
              <w:keepLines w:val="0"/>
              <w:widowControl/>
              <w:suppressLineNumbers w:val="0"/>
              <w:jc w:val="center"/>
              <w:rPr>
                <w:color w:val="auto"/>
              </w:rPr>
            </w:pPr>
            <w:r>
              <w:rPr>
                <w:rFonts w:hint="eastAsia" w:ascii="宋体" w:hAnsi="宋体" w:eastAsia="宋体" w:cs="宋体"/>
                <w:color w:val="auto"/>
                <w:kern w:val="0"/>
                <w:sz w:val="24"/>
                <w:szCs w:val="24"/>
                <w:lang w:val="en-US" w:eastAsia="zh-CN" w:bidi="ar"/>
              </w:rPr>
              <w:t>采购需求服务内容</w:t>
            </w:r>
          </w:p>
          <w:p w14:paraId="17AE2D08">
            <w:pPr>
              <w:bidi w:val="0"/>
              <w:spacing w:line="360" w:lineRule="auto"/>
              <w:jc w:val="center"/>
              <w:rPr>
                <w:rFonts w:hint="eastAsia" w:ascii="宋体" w:hAnsi="宋体" w:eastAsia="宋体" w:cs="宋体"/>
                <w:color w:val="auto"/>
                <w:sz w:val="24"/>
                <w:szCs w:val="24"/>
                <w:highlight w:val="none"/>
                <w:vertAlign w:val="baseline"/>
              </w:rPr>
            </w:pPr>
          </w:p>
        </w:tc>
        <w:tc>
          <w:tcPr>
            <w:tcW w:w="2365" w:type="dxa"/>
          </w:tcPr>
          <w:p w14:paraId="2CD792AD">
            <w:pPr>
              <w:keepNext w:val="0"/>
              <w:keepLines w:val="0"/>
              <w:widowControl/>
              <w:suppressLineNumbers w:val="0"/>
              <w:jc w:val="center"/>
              <w:rPr>
                <w:color w:val="auto"/>
              </w:rPr>
            </w:pPr>
            <w:r>
              <w:rPr>
                <w:rFonts w:hint="eastAsia" w:ascii="宋体" w:hAnsi="宋体" w:eastAsia="宋体" w:cs="宋体"/>
                <w:color w:val="auto"/>
                <w:kern w:val="0"/>
                <w:sz w:val="24"/>
                <w:szCs w:val="24"/>
                <w:lang w:val="en-US" w:eastAsia="zh-CN" w:bidi="ar"/>
              </w:rPr>
              <w:t>响应服务内容</w:t>
            </w:r>
          </w:p>
          <w:p w14:paraId="76315DBF">
            <w:pPr>
              <w:bidi w:val="0"/>
              <w:spacing w:line="360" w:lineRule="auto"/>
              <w:jc w:val="center"/>
              <w:rPr>
                <w:rFonts w:hint="eastAsia" w:ascii="宋体" w:hAnsi="宋体" w:eastAsia="宋体" w:cs="宋体"/>
                <w:color w:val="auto"/>
                <w:sz w:val="24"/>
                <w:szCs w:val="24"/>
                <w:highlight w:val="none"/>
                <w:vertAlign w:val="baseline"/>
              </w:rPr>
            </w:pPr>
          </w:p>
        </w:tc>
        <w:tc>
          <w:tcPr>
            <w:tcW w:w="2365" w:type="dxa"/>
          </w:tcPr>
          <w:p w14:paraId="30B41DAB">
            <w:pPr>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偏离</w:t>
            </w:r>
          </w:p>
        </w:tc>
      </w:tr>
      <w:tr w14:paraId="3A62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24" w:type="dxa"/>
          </w:tcPr>
          <w:p w14:paraId="5401E865">
            <w:pPr>
              <w:bidi w:val="0"/>
              <w:spacing w:line="360" w:lineRule="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4004" w:type="dxa"/>
          </w:tcPr>
          <w:p w14:paraId="03FDBC7F">
            <w:pPr>
              <w:bidi w:val="0"/>
              <w:spacing w:line="360" w:lineRule="auto"/>
              <w:rPr>
                <w:rFonts w:hint="eastAsia" w:ascii="宋体" w:hAnsi="宋体" w:eastAsia="宋体" w:cs="宋体"/>
                <w:color w:val="auto"/>
                <w:sz w:val="24"/>
                <w:szCs w:val="24"/>
                <w:highlight w:val="none"/>
                <w:vertAlign w:val="baseline"/>
              </w:rPr>
            </w:pPr>
          </w:p>
        </w:tc>
        <w:tc>
          <w:tcPr>
            <w:tcW w:w="2365" w:type="dxa"/>
          </w:tcPr>
          <w:p w14:paraId="3B0B8175">
            <w:pPr>
              <w:bidi w:val="0"/>
              <w:spacing w:line="360" w:lineRule="auto"/>
              <w:rPr>
                <w:rFonts w:hint="eastAsia" w:ascii="宋体" w:hAnsi="宋体" w:eastAsia="宋体" w:cs="宋体"/>
                <w:color w:val="auto"/>
                <w:sz w:val="24"/>
                <w:szCs w:val="24"/>
                <w:highlight w:val="none"/>
                <w:vertAlign w:val="baseline"/>
              </w:rPr>
            </w:pPr>
          </w:p>
        </w:tc>
        <w:tc>
          <w:tcPr>
            <w:tcW w:w="2365" w:type="dxa"/>
          </w:tcPr>
          <w:p w14:paraId="14D4CC7C">
            <w:pPr>
              <w:bidi w:val="0"/>
              <w:spacing w:line="360" w:lineRule="auto"/>
              <w:rPr>
                <w:rFonts w:hint="eastAsia" w:ascii="宋体" w:hAnsi="宋体" w:eastAsia="宋体" w:cs="宋体"/>
                <w:color w:val="auto"/>
                <w:sz w:val="24"/>
                <w:szCs w:val="24"/>
                <w:highlight w:val="none"/>
                <w:vertAlign w:val="baseline"/>
              </w:rPr>
            </w:pPr>
          </w:p>
        </w:tc>
      </w:tr>
      <w:tr w14:paraId="3475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4" w:type="dxa"/>
          </w:tcPr>
          <w:p w14:paraId="21CBFEE3">
            <w:pPr>
              <w:bidi w:val="0"/>
              <w:spacing w:line="360" w:lineRule="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4004" w:type="dxa"/>
          </w:tcPr>
          <w:p w14:paraId="22BC9B52">
            <w:pPr>
              <w:bidi w:val="0"/>
              <w:spacing w:line="360" w:lineRule="auto"/>
              <w:rPr>
                <w:rFonts w:hint="eastAsia" w:ascii="宋体" w:hAnsi="宋体" w:eastAsia="宋体" w:cs="宋体"/>
                <w:color w:val="auto"/>
                <w:sz w:val="24"/>
                <w:szCs w:val="24"/>
                <w:highlight w:val="none"/>
                <w:vertAlign w:val="baseline"/>
              </w:rPr>
            </w:pPr>
          </w:p>
        </w:tc>
        <w:tc>
          <w:tcPr>
            <w:tcW w:w="2365" w:type="dxa"/>
          </w:tcPr>
          <w:p w14:paraId="2F343484">
            <w:pPr>
              <w:bidi w:val="0"/>
              <w:spacing w:line="360" w:lineRule="auto"/>
              <w:rPr>
                <w:rFonts w:hint="eastAsia" w:ascii="宋体" w:hAnsi="宋体" w:eastAsia="宋体" w:cs="宋体"/>
                <w:color w:val="auto"/>
                <w:sz w:val="24"/>
                <w:szCs w:val="24"/>
                <w:highlight w:val="none"/>
                <w:vertAlign w:val="baseline"/>
              </w:rPr>
            </w:pPr>
          </w:p>
        </w:tc>
        <w:tc>
          <w:tcPr>
            <w:tcW w:w="2365" w:type="dxa"/>
          </w:tcPr>
          <w:p w14:paraId="56CA49F0">
            <w:pPr>
              <w:bidi w:val="0"/>
              <w:spacing w:line="360" w:lineRule="auto"/>
              <w:rPr>
                <w:rFonts w:hint="eastAsia" w:ascii="宋体" w:hAnsi="宋体" w:eastAsia="宋体" w:cs="宋体"/>
                <w:color w:val="auto"/>
                <w:sz w:val="24"/>
                <w:szCs w:val="24"/>
                <w:highlight w:val="none"/>
                <w:vertAlign w:val="baseline"/>
              </w:rPr>
            </w:pPr>
          </w:p>
        </w:tc>
      </w:tr>
      <w:tr w14:paraId="261A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4" w:type="dxa"/>
          </w:tcPr>
          <w:p w14:paraId="213290D9">
            <w:pPr>
              <w:bidi w:val="0"/>
              <w:spacing w:line="360" w:lineRule="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w:t>
            </w:r>
          </w:p>
        </w:tc>
        <w:tc>
          <w:tcPr>
            <w:tcW w:w="4004" w:type="dxa"/>
          </w:tcPr>
          <w:p w14:paraId="566584D1">
            <w:pPr>
              <w:bidi w:val="0"/>
              <w:spacing w:line="360" w:lineRule="auto"/>
              <w:rPr>
                <w:rFonts w:hint="eastAsia" w:ascii="宋体" w:hAnsi="宋体" w:eastAsia="宋体" w:cs="宋体"/>
                <w:color w:val="auto"/>
                <w:sz w:val="24"/>
                <w:szCs w:val="24"/>
                <w:highlight w:val="none"/>
                <w:vertAlign w:val="baseline"/>
              </w:rPr>
            </w:pPr>
          </w:p>
        </w:tc>
        <w:tc>
          <w:tcPr>
            <w:tcW w:w="2365" w:type="dxa"/>
          </w:tcPr>
          <w:p w14:paraId="322BD081">
            <w:pPr>
              <w:bidi w:val="0"/>
              <w:spacing w:line="360" w:lineRule="auto"/>
              <w:rPr>
                <w:rFonts w:hint="eastAsia" w:ascii="宋体" w:hAnsi="宋体" w:eastAsia="宋体" w:cs="宋体"/>
                <w:color w:val="auto"/>
                <w:sz w:val="24"/>
                <w:szCs w:val="24"/>
                <w:highlight w:val="none"/>
                <w:vertAlign w:val="baseline"/>
              </w:rPr>
            </w:pPr>
          </w:p>
        </w:tc>
        <w:tc>
          <w:tcPr>
            <w:tcW w:w="2365" w:type="dxa"/>
          </w:tcPr>
          <w:p w14:paraId="3DDF4B91">
            <w:pPr>
              <w:bidi w:val="0"/>
              <w:spacing w:line="360" w:lineRule="auto"/>
              <w:rPr>
                <w:rFonts w:hint="eastAsia" w:ascii="宋体" w:hAnsi="宋体" w:eastAsia="宋体" w:cs="宋体"/>
                <w:color w:val="auto"/>
                <w:sz w:val="24"/>
                <w:szCs w:val="24"/>
                <w:highlight w:val="none"/>
                <w:vertAlign w:val="baseline"/>
              </w:rPr>
            </w:pPr>
          </w:p>
        </w:tc>
      </w:tr>
      <w:tr w14:paraId="4DD7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4" w:type="dxa"/>
          </w:tcPr>
          <w:p w14:paraId="120A6336">
            <w:pPr>
              <w:bidi w:val="0"/>
              <w:spacing w:line="360" w:lineRule="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4004" w:type="dxa"/>
          </w:tcPr>
          <w:p w14:paraId="5D354E44">
            <w:pPr>
              <w:bidi w:val="0"/>
              <w:spacing w:line="360" w:lineRule="auto"/>
              <w:rPr>
                <w:rFonts w:hint="eastAsia" w:ascii="宋体" w:hAnsi="宋体" w:eastAsia="宋体" w:cs="宋体"/>
                <w:color w:val="auto"/>
                <w:sz w:val="24"/>
                <w:szCs w:val="24"/>
                <w:highlight w:val="none"/>
                <w:vertAlign w:val="baseline"/>
              </w:rPr>
            </w:pPr>
          </w:p>
        </w:tc>
        <w:tc>
          <w:tcPr>
            <w:tcW w:w="2365" w:type="dxa"/>
          </w:tcPr>
          <w:p w14:paraId="228BFD6C">
            <w:pPr>
              <w:bidi w:val="0"/>
              <w:spacing w:line="360" w:lineRule="auto"/>
              <w:rPr>
                <w:rFonts w:hint="eastAsia" w:ascii="宋体" w:hAnsi="宋体" w:eastAsia="宋体" w:cs="宋体"/>
                <w:color w:val="auto"/>
                <w:sz w:val="24"/>
                <w:szCs w:val="24"/>
                <w:highlight w:val="none"/>
                <w:vertAlign w:val="baseline"/>
              </w:rPr>
            </w:pPr>
          </w:p>
        </w:tc>
        <w:tc>
          <w:tcPr>
            <w:tcW w:w="2365" w:type="dxa"/>
          </w:tcPr>
          <w:p w14:paraId="46FD7409">
            <w:pPr>
              <w:bidi w:val="0"/>
              <w:spacing w:line="360" w:lineRule="auto"/>
              <w:rPr>
                <w:rFonts w:hint="eastAsia" w:ascii="宋体" w:hAnsi="宋体" w:eastAsia="宋体" w:cs="宋体"/>
                <w:color w:val="auto"/>
                <w:sz w:val="24"/>
                <w:szCs w:val="24"/>
                <w:highlight w:val="none"/>
                <w:vertAlign w:val="baseline"/>
              </w:rPr>
            </w:pPr>
          </w:p>
        </w:tc>
      </w:tr>
    </w:tbl>
    <w:p w14:paraId="71F834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注：1.本表应按照询比采购文件第五章采购需求内容内容逐项填写，不得遗漏。 </w:t>
      </w:r>
    </w:p>
    <w:p w14:paraId="7565751E">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color w:val="auto"/>
        </w:rPr>
      </w:pPr>
      <w:r>
        <w:rPr>
          <w:rFonts w:hint="eastAsia" w:ascii="宋体" w:hAnsi="宋体" w:eastAsia="宋体" w:cs="宋体"/>
          <w:color w:val="auto"/>
          <w:kern w:val="0"/>
          <w:sz w:val="24"/>
          <w:szCs w:val="24"/>
          <w:lang w:val="en-US" w:eastAsia="zh-CN" w:bidi="ar"/>
        </w:rPr>
        <w:t xml:space="preserve">2.投标人响应采购需求应具体、明确，应以招标项目服务要求为基本投标要求，对超出或不满足招标项目参数要求的指标需列出“+、-”偏差，并做出详细说明；如果只注明 “+”、“-”或未填写，将视为该项指标不响应。 </w:t>
      </w:r>
    </w:p>
    <w:p w14:paraId="483DB2E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3. 投标供应商应按项目实际情况填写服务内容。</w:t>
      </w:r>
    </w:p>
    <w:p w14:paraId="1941487C">
      <w:pPr>
        <w:bidi w:val="0"/>
        <w:spacing w:line="360" w:lineRule="auto"/>
        <w:rPr>
          <w:rFonts w:hint="eastAsia" w:ascii="宋体" w:hAnsi="宋体" w:eastAsia="宋体" w:cs="宋体"/>
          <w:color w:val="auto"/>
          <w:sz w:val="24"/>
          <w:szCs w:val="24"/>
          <w:highlight w:val="none"/>
        </w:rPr>
      </w:pPr>
    </w:p>
    <w:p w14:paraId="1DEB0EC9">
      <w:pPr>
        <w:bidi w:val="0"/>
        <w:rPr>
          <w:rFonts w:hint="eastAsia" w:ascii="宋体" w:hAnsi="宋体" w:eastAsia="宋体" w:cs="宋体"/>
          <w:color w:val="auto"/>
          <w:sz w:val="24"/>
          <w:szCs w:val="24"/>
          <w:highlight w:val="none"/>
        </w:rPr>
      </w:pPr>
    </w:p>
    <w:p w14:paraId="6C6CA5A5">
      <w:pPr>
        <w:bidi w:val="0"/>
        <w:spacing w:line="360" w:lineRule="auto"/>
        <w:jc w:val="right"/>
        <w:rPr>
          <w:rFonts w:hint="eastAsia" w:ascii="宋体" w:hAnsi="宋体" w:eastAsia="宋体" w:cs="宋体"/>
          <w:color w:val="auto"/>
          <w:sz w:val="24"/>
          <w:szCs w:val="24"/>
          <w:highlight w:val="none"/>
        </w:rPr>
      </w:pPr>
    </w:p>
    <w:p w14:paraId="34FF1F66">
      <w:pPr>
        <w:bidi w:val="0"/>
        <w:spacing w:line="360" w:lineRule="auto"/>
        <w:jc w:val="right"/>
        <w:rPr>
          <w:rFonts w:hint="eastAsia" w:ascii="宋体" w:hAnsi="宋体" w:eastAsia="宋体" w:cs="宋体"/>
          <w:color w:val="auto"/>
          <w:sz w:val="24"/>
          <w:szCs w:val="24"/>
          <w:highlight w:val="none"/>
        </w:rPr>
      </w:pPr>
    </w:p>
    <w:p w14:paraId="6182344A">
      <w:pPr>
        <w:bidi w:val="0"/>
        <w:spacing w:line="360" w:lineRule="auto"/>
        <w:jc w:val="center"/>
        <w:rPr>
          <w:rFonts w:hint="eastAsia" w:ascii="宋体" w:hAnsi="宋体" w:eastAsia="宋体" w:cs="宋体"/>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lang w:eastAsia="zh-CN"/>
        </w:rPr>
        <w:t>询比响应人（盖章）</w:t>
      </w:r>
    </w:p>
    <w:p w14:paraId="62DC3C06">
      <w:pPr>
        <w:bidi w:val="0"/>
        <w:spacing w:line="360" w:lineRule="auto"/>
        <w:jc w:val="righ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bookmarkStart w:id="285" w:name="bookmark608"/>
      <w:bookmarkEnd w:id="285"/>
    </w:p>
    <w:p w14:paraId="405C27A5">
      <w:pPr>
        <w:rPr>
          <w:rFonts w:ascii="宋体" w:cs="Times New Roman"/>
          <w:color w:val="auto"/>
          <w:sz w:val="36"/>
          <w:szCs w:val="36"/>
          <w:highlight w:val="none"/>
        </w:rPr>
      </w:pPr>
      <w:r>
        <w:rPr>
          <w:rFonts w:ascii="宋体" w:cs="Times New Roman"/>
          <w:color w:val="auto"/>
          <w:sz w:val="24"/>
          <w:szCs w:val="24"/>
          <w:highlight w:val="none"/>
        </w:rPr>
        <w:br w:type="page"/>
      </w:r>
    </w:p>
    <w:p w14:paraId="40BB1DBD">
      <w:pPr>
        <w:pStyle w:val="32"/>
        <w:rPr>
          <w:rFonts w:ascii="宋体"/>
          <w:color w:val="auto"/>
          <w:highlight w:val="none"/>
        </w:rPr>
      </w:pPr>
    </w:p>
    <w:p w14:paraId="4FFB780C">
      <w:pPr>
        <w:pStyle w:val="3"/>
        <w:numPr>
          <w:ilvl w:val="0"/>
          <w:numId w:val="10"/>
        </w:numPr>
        <w:rPr>
          <w:rFonts w:ascii="宋体" w:cs="Times New Roman"/>
          <w:color w:val="auto"/>
          <w:highlight w:val="none"/>
        </w:rPr>
      </w:pPr>
      <w:r>
        <w:rPr>
          <w:rFonts w:hint="eastAsia" w:ascii="宋体" w:hAnsi="宋体" w:cs="宋体"/>
          <w:color w:val="auto"/>
          <w:highlight w:val="none"/>
        </w:rPr>
        <w:t>近年的类似项目情况表</w:t>
      </w:r>
      <w:bookmarkEnd w:id="284"/>
    </w:p>
    <w:tbl>
      <w:tblPr>
        <w:tblStyle w:val="20"/>
        <w:tblW w:w="10139" w:type="dxa"/>
        <w:jc w:val="center"/>
        <w:tblLayout w:type="fixed"/>
        <w:tblCellMar>
          <w:top w:w="0" w:type="dxa"/>
          <w:left w:w="10" w:type="dxa"/>
          <w:bottom w:w="0" w:type="dxa"/>
          <w:right w:w="10" w:type="dxa"/>
        </w:tblCellMar>
      </w:tblPr>
      <w:tblGrid>
        <w:gridCol w:w="2635"/>
        <w:gridCol w:w="7504"/>
      </w:tblGrid>
      <w:tr w14:paraId="4107F5DF">
        <w:tblPrEx>
          <w:tblCellMar>
            <w:top w:w="0" w:type="dxa"/>
            <w:left w:w="10" w:type="dxa"/>
            <w:bottom w:w="0" w:type="dxa"/>
            <w:right w:w="10" w:type="dxa"/>
          </w:tblCellMar>
        </w:tblPrEx>
        <w:trPr>
          <w:trHeight w:val="748" w:hRule="exact"/>
          <w:jc w:val="center"/>
        </w:trPr>
        <w:tc>
          <w:tcPr>
            <w:tcW w:w="2635" w:type="dxa"/>
            <w:tcBorders>
              <w:top w:val="single" w:color="auto" w:sz="4" w:space="0"/>
              <w:left w:val="single" w:color="auto" w:sz="4" w:space="0"/>
            </w:tcBorders>
            <w:vAlign w:val="center"/>
          </w:tcPr>
          <w:p w14:paraId="733E91C0">
            <w:pPr>
              <w:pStyle w:val="47"/>
              <w:spacing w:line="360" w:lineRule="auto"/>
              <w:jc w:val="center"/>
              <w:rPr>
                <w:rFonts w:cs="Times New Roman"/>
                <w:color w:val="auto"/>
                <w:sz w:val="24"/>
                <w:szCs w:val="24"/>
                <w:highlight w:val="none"/>
              </w:rPr>
            </w:pPr>
            <w:r>
              <w:rPr>
                <w:rFonts w:hint="eastAsia"/>
                <w:color w:val="auto"/>
                <w:sz w:val="24"/>
                <w:szCs w:val="24"/>
                <w:highlight w:val="none"/>
              </w:rPr>
              <w:t>项目名称</w:t>
            </w:r>
          </w:p>
        </w:tc>
        <w:tc>
          <w:tcPr>
            <w:tcW w:w="7504" w:type="dxa"/>
            <w:tcBorders>
              <w:top w:val="single" w:color="auto" w:sz="4" w:space="0"/>
              <w:left w:val="single" w:color="auto" w:sz="4" w:space="0"/>
              <w:right w:val="single" w:color="auto" w:sz="4" w:space="0"/>
            </w:tcBorders>
            <w:vAlign w:val="center"/>
          </w:tcPr>
          <w:p w14:paraId="2D73676A">
            <w:pPr>
              <w:spacing w:line="360" w:lineRule="auto"/>
              <w:jc w:val="center"/>
              <w:rPr>
                <w:rFonts w:ascii="宋体" w:cs="Times New Roman"/>
                <w:color w:val="auto"/>
                <w:sz w:val="24"/>
                <w:szCs w:val="24"/>
                <w:highlight w:val="none"/>
              </w:rPr>
            </w:pPr>
          </w:p>
        </w:tc>
      </w:tr>
      <w:tr w14:paraId="7D7A9397">
        <w:tblPrEx>
          <w:tblCellMar>
            <w:top w:w="0" w:type="dxa"/>
            <w:left w:w="10" w:type="dxa"/>
            <w:bottom w:w="0" w:type="dxa"/>
            <w:right w:w="10" w:type="dxa"/>
          </w:tblCellMar>
        </w:tblPrEx>
        <w:trPr>
          <w:trHeight w:val="728" w:hRule="exact"/>
          <w:jc w:val="center"/>
        </w:trPr>
        <w:tc>
          <w:tcPr>
            <w:tcW w:w="2635" w:type="dxa"/>
            <w:tcBorders>
              <w:top w:val="single" w:color="auto" w:sz="4" w:space="0"/>
              <w:left w:val="single" w:color="auto" w:sz="4" w:space="0"/>
            </w:tcBorders>
            <w:vAlign w:val="center"/>
          </w:tcPr>
          <w:p w14:paraId="64ABA925">
            <w:pPr>
              <w:pStyle w:val="47"/>
              <w:spacing w:line="360" w:lineRule="auto"/>
              <w:jc w:val="center"/>
              <w:rPr>
                <w:rFonts w:cs="Times New Roman"/>
                <w:color w:val="auto"/>
                <w:sz w:val="24"/>
                <w:szCs w:val="24"/>
                <w:highlight w:val="none"/>
              </w:rPr>
            </w:pPr>
            <w:r>
              <w:rPr>
                <w:rFonts w:hint="eastAsia"/>
                <w:color w:val="auto"/>
                <w:sz w:val="24"/>
                <w:szCs w:val="24"/>
                <w:highlight w:val="none"/>
              </w:rPr>
              <w:t>服务内容</w:t>
            </w:r>
          </w:p>
        </w:tc>
        <w:tc>
          <w:tcPr>
            <w:tcW w:w="7504" w:type="dxa"/>
            <w:tcBorders>
              <w:top w:val="single" w:color="auto" w:sz="4" w:space="0"/>
              <w:left w:val="single" w:color="auto" w:sz="4" w:space="0"/>
              <w:right w:val="single" w:color="auto" w:sz="4" w:space="0"/>
            </w:tcBorders>
            <w:vAlign w:val="center"/>
          </w:tcPr>
          <w:p w14:paraId="04AD1313">
            <w:pPr>
              <w:spacing w:line="360" w:lineRule="auto"/>
              <w:jc w:val="center"/>
              <w:rPr>
                <w:rFonts w:ascii="宋体" w:cs="Times New Roman"/>
                <w:color w:val="auto"/>
                <w:sz w:val="24"/>
                <w:szCs w:val="24"/>
                <w:highlight w:val="none"/>
              </w:rPr>
            </w:pPr>
          </w:p>
        </w:tc>
      </w:tr>
      <w:tr w14:paraId="2F52A8D8">
        <w:tblPrEx>
          <w:tblCellMar>
            <w:top w:w="0" w:type="dxa"/>
            <w:left w:w="10" w:type="dxa"/>
            <w:bottom w:w="0" w:type="dxa"/>
            <w:right w:w="10" w:type="dxa"/>
          </w:tblCellMar>
        </w:tblPrEx>
        <w:trPr>
          <w:trHeight w:val="626" w:hRule="exact"/>
          <w:jc w:val="center"/>
        </w:trPr>
        <w:tc>
          <w:tcPr>
            <w:tcW w:w="2635" w:type="dxa"/>
            <w:tcBorders>
              <w:top w:val="single" w:color="auto" w:sz="4" w:space="0"/>
              <w:left w:val="single" w:color="auto" w:sz="4" w:space="0"/>
            </w:tcBorders>
            <w:vAlign w:val="center"/>
          </w:tcPr>
          <w:p w14:paraId="038C2013">
            <w:pPr>
              <w:pStyle w:val="47"/>
              <w:spacing w:line="360" w:lineRule="auto"/>
              <w:jc w:val="center"/>
              <w:rPr>
                <w:rFonts w:cs="Times New Roman"/>
                <w:color w:val="auto"/>
                <w:sz w:val="24"/>
                <w:szCs w:val="24"/>
                <w:highlight w:val="none"/>
              </w:rPr>
            </w:pPr>
            <w:r>
              <w:rPr>
                <w:rFonts w:hint="eastAsia"/>
                <w:color w:val="auto"/>
                <w:sz w:val="24"/>
                <w:szCs w:val="24"/>
                <w:highlight w:val="none"/>
              </w:rPr>
              <w:t>委托人</w:t>
            </w:r>
            <w:r>
              <w:rPr>
                <w:color w:val="auto"/>
                <w:sz w:val="24"/>
                <w:szCs w:val="24"/>
                <w:highlight w:val="none"/>
              </w:rPr>
              <w:t>/</w:t>
            </w:r>
            <w:r>
              <w:rPr>
                <w:rFonts w:hint="eastAsia"/>
                <w:color w:val="auto"/>
                <w:sz w:val="24"/>
                <w:szCs w:val="24"/>
                <w:highlight w:val="none"/>
              </w:rPr>
              <w:t>发包人名称</w:t>
            </w:r>
          </w:p>
        </w:tc>
        <w:tc>
          <w:tcPr>
            <w:tcW w:w="7504" w:type="dxa"/>
            <w:tcBorders>
              <w:top w:val="single" w:color="auto" w:sz="4" w:space="0"/>
              <w:left w:val="single" w:color="auto" w:sz="4" w:space="0"/>
              <w:right w:val="single" w:color="auto" w:sz="4" w:space="0"/>
            </w:tcBorders>
            <w:vAlign w:val="center"/>
          </w:tcPr>
          <w:p w14:paraId="7642354C">
            <w:pPr>
              <w:spacing w:line="360" w:lineRule="auto"/>
              <w:jc w:val="center"/>
              <w:rPr>
                <w:rFonts w:ascii="宋体" w:cs="Times New Roman"/>
                <w:color w:val="auto"/>
                <w:sz w:val="24"/>
                <w:szCs w:val="24"/>
                <w:highlight w:val="none"/>
              </w:rPr>
            </w:pPr>
          </w:p>
        </w:tc>
      </w:tr>
      <w:tr w14:paraId="102B3F82">
        <w:tblPrEx>
          <w:tblCellMar>
            <w:top w:w="0" w:type="dxa"/>
            <w:left w:w="10" w:type="dxa"/>
            <w:bottom w:w="0" w:type="dxa"/>
            <w:right w:w="10" w:type="dxa"/>
          </w:tblCellMar>
        </w:tblPrEx>
        <w:trPr>
          <w:trHeight w:val="1270" w:hRule="exact"/>
          <w:jc w:val="center"/>
        </w:trPr>
        <w:tc>
          <w:tcPr>
            <w:tcW w:w="2635" w:type="dxa"/>
            <w:tcBorders>
              <w:top w:val="single" w:color="auto" w:sz="4" w:space="0"/>
              <w:left w:val="single" w:color="auto" w:sz="4" w:space="0"/>
            </w:tcBorders>
            <w:vAlign w:val="center"/>
          </w:tcPr>
          <w:p w14:paraId="62F10DBF">
            <w:pPr>
              <w:pStyle w:val="47"/>
              <w:spacing w:line="360" w:lineRule="auto"/>
              <w:jc w:val="center"/>
              <w:rPr>
                <w:rFonts w:cs="Times New Roman"/>
                <w:color w:val="auto"/>
                <w:sz w:val="24"/>
                <w:szCs w:val="24"/>
                <w:highlight w:val="none"/>
              </w:rPr>
            </w:pPr>
            <w:r>
              <w:rPr>
                <w:rFonts w:hint="eastAsia"/>
                <w:color w:val="auto"/>
                <w:sz w:val="24"/>
                <w:szCs w:val="24"/>
                <w:highlight w:val="none"/>
              </w:rPr>
              <w:t>委托人</w:t>
            </w:r>
            <w:r>
              <w:rPr>
                <w:color w:val="auto"/>
                <w:sz w:val="24"/>
                <w:szCs w:val="24"/>
                <w:highlight w:val="none"/>
              </w:rPr>
              <w:t>/</w:t>
            </w:r>
            <w:r>
              <w:rPr>
                <w:rFonts w:hint="eastAsia"/>
                <w:color w:val="auto"/>
                <w:sz w:val="24"/>
                <w:szCs w:val="24"/>
                <w:highlight w:val="none"/>
              </w:rPr>
              <w:t>发包人联系人及电话</w:t>
            </w:r>
          </w:p>
        </w:tc>
        <w:tc>
          <w:tcPr>
            <w:tcW w:w="7504" w:type="dxa"/>
            <w:tcBorders>
              <w:top w:val="single" w:color="auto" w:sz="4" w:space="0"/>
              <w:left w:val="single" w:color="auto" w:sz="4" w:space="0"/>
              <w:right w:val="single" w:color="auto" w:sz="4" w:space="0"/>
            </w:tcBorders>
            <w:vAlign w:val="center"/>
          </w:tcPr>
          <w:p w14:paraId="68A3E7FC">
            <w:pPr>
              <w:tabs>
                <w:tab w:val="left" w:pos="6300"/>
              </w:tabs>
              <w:spacing w:line="360" w:lineRule="auto"/>
              <w:jc w:val="center"/>
              <w:rPr>
                <w:rFonts w:ascii="宋体" w:cs="Times New Roman"/>
                <w:color w:val="auto"/>
                <w:sz w:val="24"/>
                <w:szCs w:val="24"/>
                <w:highlight w:val="none"/>
              </w:rPr>
            </w:pPr>
          </w:p>
        </w:tc>
      </w:tr>
      <w:tr w14:paraId="70D7BB70">
        <w:tblPrEx>
          <w:tblCellMar>
            <w:top w:w="0" w:type="dxa"/>
            <w:left w:w="10" w:type="dxa"/>
            <w:bottom w:w="0" w:type="dxa"/>
            <w:right w:w="10" w:type="dxa"/>
          </w:tblCellMar>
        </w:tblPrEx>
        <w:trPr>
          <w:trHeight w:val="626" w:hRule="exact"/>
          <w:jc w:val="center"/>
        </w:trPr>
        <w:tc>
          <w:tcPr>
            <w:tcW w:w="2635" w:type="dxa"/>
            <w:tcBorders>
              <w:top w:val="single" w:color="auto" w:sz="4" w:space="0"/>
              <w:left w:val="single" w:color="auto" w:sz="4" w:space="0"/>
            </w:tcBorders>
            <w:vAlign w:val="center"/>
          </w:tcPr>
          <w:p w14:paraId="20FB28FB">
            <w:pPr>
              <w:pStyle w:val="47"/>
              <w:spacing w:line="360" w:lineRule="auto"/>
              <w:jc w:val="center"/>
              <w:rPr>
                <w:rFonts w:cs="Times New Roman"/>
                <w:color w:val="auto"/>
                <w:sz w:val="24"/>
                <w:szCs w:val="24"/>
                <w:highlight w:val="none"/>
              </w:rPr>
            </w:pPr>
            <w:r>
              <w:rPr>
                <w:rFonts w:hint="eastAsia"/>
                <w:color w:val="auto"/>
                <w:sz w:val="24"/>
                <w:szCs w:val="24"/>
                <w:highlight w:val="none"/>
              </w:rPr>
              <w:t>合同价格</w:t>
            </w:r>
          </w:p>
        </w:tc>
        <w:tc>
          <w:tcPr>
            <w:tcW w:w="7504" w:type="dxa"/>
            <w:tcBorders>
              <w:top w:val="single" w:color="auto" w:sz="4" w:space="0"/>
              <w:left w:val="single" w:color="auto" w:sz="4" w:space="0"/>
              <w:right w:val="single" w:color="auto" w:sz="4" w:space="0"/>
            </w:tcBorders>
            <w:vAlign w:val="center"/>
          </w:tcPr>
          <w:p w14:paraId="15280217">
            <w:pPr>
              <w:spacing w:line="360" w:lineRule="auto"/>
              <w:jc w:val="center"/>
              <w:rPr>
                <w:rFonts w:ascii="宋体" w:cs="Times New Roman"/>
                <w:color w:val="auto"/>
                <w:sz w:val="24"/>
                <w:szCs w:val="24"/>
                <w:highlight w:val="none"/>
              </w:rPr>
            </w:pPr>
          </w:p>
        </w:tc>
      </w:tr>
      <w:tr w14:paraId="569896FF">
        <w:tblPrEx>
          <w:tblCellMar>
            <w:top w:w="0" w:type="dxa"/>
            <w:left w:w="10" w:type="dxa"/>
            <w:bottom w:w="0" w:type="dxa"/>
            <w:right w:w="10" w:type="dxa"/>
          </w:tblCellMar>
        </w:tblPrEx>
        <w:trPr>
          <w:trHeight w:val="728" w:hRule="exact"/>
          <w:jc w:val="center"/>
        </w:trPr>
        <w:tc>
          <w:tcPr>
            <w:tcW w:w="2635" w:type="dxa"/>
            <w:tcBorders>
              <w:top w:val="single" w:color="auto" w:sz="4" w:space="0"/>
              <w:left w:val="single" w:color="auto" w:sz="4" w:space="0"/>
            </w:tcBorders>
            <w:vAlign w:val="center"/>
          </w:tcPr>
          <w:p w14:paraId="23230382">
            <w:pPr>
              <w:pStyle w:val="47"/>
              <w:spacing w:line="360" w:lineRule="auto"/>
              <w:jc w:val="center"/>
              <w:rPr>
                <w:rFonts w:cs="Times New Roman"/>
                <w:color w:val="auto"/>
                <w:sz w:val="24"/>
                <w:szCs w:val="24"/>
                <w:highlight w:val="none"/>
              </w:rPr>
            </w:pPr>
            <w:r>
              <w:rPr>
                <w:rFonts w:hint="eastAsia"/>
                <w:color w:val="auto"/>
                <w:sz w:val="24"/>
                <w:szCs w:val="24"/>
                <w:highlight w:val="none"/>
              </w:rPr>
              <w:t>服务是否完成</w:t>
            </w:r>
          </w:p>
        </w:tc>
        <w:tc>
          <w:tcPr>
            <w:tcW w:w="7504" w:type="dxa"/>
            <w:tcBorders>
              <w:top w:val="single" w:color="auto" w:sz="4" w:space="0"/>
              <w:left w:val="single" w:color="auto" w:sz="4" w:space="0"/>
              <w:right w:val="single" w:color="auto" w:sz="4" w:space="0"/>
            </w:tcBorders>
            <w:vAlign w:val="center"/>
          </w:tcPr>
          <w:p w14:paraId="3EC30ACA">
            <w:pPr>
              <w:spacing w:line="360" w:lineRule="auto"/>
              <w:jc w:val="center"/>
              <w:rPr>
                <w:rFonts w:ascii="宋体" w:cs="Times New Roman"/>
                <w:color w:val="auto"/>
                <w:sz w:val="24"/>
                <w:szCs w:val="24"/>
                <w:highlight w:val="none"/>
              </w:rPr>
            </w:pPr>
          </w:p>
        </w:tc>
      </w:tr>
      <w:tr w14:paraId="4A506184">
        <w:tblPrEx>
          <w:tblCellMar>
            <w:top w:w="0" w:type="dxa"/>
            <w:left w:w="10" w:type="dxa"/>
            <w:bottom w:w="0" w:type="dxa"/>
            <w:right w:w="10" w:type="dxa"/>
          </w:tblCellMar>
        </w:tblPrEx>
        <w:trPr>
          <w:trHeight w:val="566" w:hRule="exact"/>
          <w:jc w:val="center"/>
        </w:trPr>
        <w:tc>
          <w:tcPr>
            <w:tcW w:w="2635" w:type="dxa"/>
            <w:tcBorders>
              <w:top w:val="single" w:color="auto" w:sz="4" w:space="0"/>
              <w:left w:val="single" w:color="auto" w:sz="4" w:space="0"/>
            </w:tcBorders>
            <w:vAlign w:val="center"/>
          </w:tcPr>
          <w:p w14:paraId="32B6EF04">
            <w:pPr>
              <w:pStyle w:val="47"/>
              <w:spacing w:line="360" w:lineRule="auto"/>
              <w:jc w:val="center"/>
              <w:rPr>
                <w:color w:val="auto"/>
                <w:sz w:val="24"/>
                <w:szCs w:val="24"/>
                <w:highlight w:val="none"/>
              </w:rPr>
            </w:pPr>
            <w:r>
              <w:rPr>
                <w:rFonts w:hint="eastAsia"/>
                <w:color w:val="auto"/>
                <w:sz w:val="24"/>
                <w:szCs w:val="24"/>
                <w:highlight w:val="none"/>
              </w:rPr>
              <w:t>项目负责人</w:t>
            </w:r>
            <w:r>
              <w:rPr>
                <w:color w:val="auto"/>
                <w:sz w:val="24"/>
                <w:szCs w:val="24"/>
                <w:highlight w:val="none"/>
              </w:rPr>
              <w:t>(</w:t>
            </w:r>
            <w:r>
              <w:rPr>
                <w:rFonts w:hint="eastAsia"/>
                <w:color w:val="auto"/>
                <w:sz w:val="24"/>
                <w:szCs w:val="24"/>
                <w:highlight w:val="none"/>
              </w:rPr>
              <w:t>如有</w:t>
            </w:r>
            <w:r>
              <w:rPr>
                <w:color w:val="auto"/>
                <w:sz w:val="24"/>
                <w:szCs w:val="24"/>
                <w:highlight w:val="none"/>
              </w:rPr>
              <w:t>)</w:t>
            </w:r>
          </w:p>
        </w:tc>
        <w:tc>
          <w:tcPr>
            <w:tcW w:w="7504" w:type="dxa"/>
            <w:tcBorders>
              <w:top w:val="single" w:color="auto" w:sz="4" w:space="0"/>
              <w:left w:val="single" w:color="auto" w:sz="4" w:space="0"/>
              <w:right w:val="single" w:color="auto" w:sz="4" w:space="0"/>
            </w:tcBorders>
            <w:vAlign w:val="center"/>
          </w:tcPr>
          <w:p w14:paraId="088A625B">
            <w:pPr>
              <w:spacing w:line="360" w:lineRule="auto"/>
              <w:jc w:val="center"/>
              <w:rPr>
                <w:rFonts w:ascii="宋体" w:cs="Times New Roman"/>
                <w:color w:val="auto"/>
                <w:sz w:val="24"/>
                <w:szCs w:val="24"/>
                <w:highlight w:val="none"/>
              </w:rPr>
            </w:pPr>
          </w:p>
        </w:tc>
      </w:tr>
      <w:tr w14:paraId="715AEB66">
        <w:tblPrEx>
          <w:tblCellMar>
            <w:top w:w="0" w:type="dxa"/>
            <w:left w:w="10" w:type="dxa"/>
            <w:bottom w:w="0" w:type="dxa"/>
            <w:right w:w="10" w:type="dxa"/>
          </w:tblCellMar>
        </w:tblPrEx>
        <w:trPr>
          <w:trHeight w:val="2085" w:hRule="exact"/>
          <w:jc w:val="center"/>
        </w:trPr>
        <w:tc>
          <w:tcPr>
            <w:tcW w:w="2635" w:type="dxa"/>
            <w:tcBorders>
              <w:top w:val="single" w:color="auto" w:sz="4" w:space="0"/>
              <w:left w:val="single" w:color="auto" w:sz="4" w:space="0"/>
            </w:tcBorders>
            <w:vAlign w:val="center"/>
          </w:tcPr>
          <w:p w14:paraId="361679BE">
            <w:pPr>
              <w:pStyle w:val="47"/>
              <w:spacing w:line="360" w:lineRule="auto"/>
              <w:jc w:val="center"/>
              <w:rPr>
                <w:rFonts w:cs="Times New Roman"/>
                <w:color w:val="auto"/>
                <w:sz w:val="24"/>
                <w:szCs w:val="24"/>
                <w:highlight w:val="none"/>
                <w:lang w:eastAsia="zh-CN"/>
              </w:rPr>
            </w:pPr>
            <w:r>
              <w:rPr>
                <w:rFonts w:hint="eastAsia"/>
                <w:color w:val="auto"/>
                <w:sz w:val="24"/>
                <w:szCs w:val="24"/>
                <w:highlight w:val="none"/>
              </w:rPr>
              <w:t>项目概况及</w:t>
            </w:r>
            <w:r>
              <w:rPr>
                <w:rFonts w:hint="eastAsia"/>
                <w:color w:val="auto"/>
                <w:sz w:val="24"/>
                <w:szCs w:val="24"/>
                <w:highlight w:val="none"/>
                <w:lang w:eastAsia="zh-CN"/>
              </w:rPr>
              <w:t>询比响应人</w:t>
            </w:r>
          </w:p>
          <w:p w14:paraId="53172AC2">
            <w:pPr>
              <w:pStyle w:val="47"/>
              <w:spacing w:line="360" w:lineRule="auto"/>
              <w:jc w:val="center"/>
              <w:rPr>
                <w:rFonts w:cs="Times New Roman"/>
                <w:color w:val="auto"/>
                <w:sz w:val="24"/>
                <w:szCs w:val="24"/>
                <w:highlight w:val="none"/>
              </w:rPr>
            </w:pPr>
            <w:r>
              <w:rPr>
                <w:rFonts w:hint="eastAsia"/>
                <w:color w:val="auto"/>
                <w:sz w:val="24"/>
                <w:szCs w:val="24"/>
                <w:highlight w:val="none"/>
              </w:rPr>
              <w:t>履约情况</w:t>
            </w:r>
          </w:p>
        </w:tc>
        <w:tc>
          <w:tcPr>
            <w:tcW w:w="7504" w:type="dxa"/>
            <w:tcBorders>
              <w:top w:val="single" w:color="auto" w:sz="4" w:space="0"/>
              <w:left w:val="single" w:color="auto" w:sz="4" w:space="0"/>
              <w:right w:val="single" w:color="auto" w:sz="4" w:space="0"/>
            </w:tcBorders>
            <w:vAlign w:val="center"/>
          </w:tcPr>
          <w:p w14:paraId="475EDF9D">
            <w:pPr>
              <w:spacing w:line="360" w:lineRule="auto"/>
              <w:jc w:val="center"/>
              <w:rPr>
                <w:rFonts w:ascii="宋体" w:cs="Times New Roman"/>
                <w:color w:val="auto"/>
                <w:sz w:val="24"/>
                <w:szCs w:val="24"/>
                <w:highlight w:val="none"/>
              </w:rPr>
            </w:pPr>
          </w:p>
        </w:tc>
      </w:tr>
      <w:tr w14:paraId="3D3CBA31">
        <w:tblPrEx>
          <w:tblCellMar>
            <w:top w:w="0" w:type="dxa"/>
            <w:left w:w="10" w:type="dxa"/>
            <w:bottom w:w="0" w:type="dxa"/>
            <w:right w:w="10" w:type="dxa"/>
          </w:tblCellMar>
        </w:tblPrEx>
        <w:trPr>
          <w:trHeight w:val="574" w:hRule="exact"/>
          <w:jc w:val="center"/>
        </w:trPr>
        <w:tc>
          <w:tcPr>
            <w:tcW w:w="2635" w:type="dxa"/>
            <w:tcBorders>
              <w:top w:val="single" w:color="auto" w:sz="4" w:space="0"/>
              <w:left w:val="single" w:color="auto" w:sz="4" w:space="0"/>
              <w:bottom w:val="single" w:color="auto" w:sz="4" w:space="0"/>
            </w:tcBorders>
            <w:vAlign w:val="center"/>
          </w:tcPr>
          <w:p w14:paraId="3D8EAA05">
            <w:pPr>
              <w:pStyle w:val="47"/>
              <w:spacing w:line="360" w:lineRule="auto"/>
              <w:jc w:val="center"/>
              <w:rPr>
                <w:rFonts w:cs="Times New Roman"/>
                <w:color w:val="auto"/>
                <w:sz w:val="24"/>
                <w:szCs w:val="24"/>
                <w:highlight w:val="none"/>
              </w:rPr>
            </w:pPr>
            <w:r>
              <w:rPr>
                <w:rFonts w:hint="eastAsia"/>
                <w:color w:val="auto"/>
                <w:sz w:val="24"/>
                <w:szCs w:val="24"/>
                <w:highlight w:val="none"/>
              </w:rPr>
              <w:t>备注</w:t>
            </w:r>
          </w:p>
        </w:tc>
        <w:tc>
          <w:tcPr>
            <w:tcW w:w="7504" w:type="dxa"/>
            <w:tcBorders>
              <w:top w:val="single" w:color="auto" w:sz="4" w:space="0"/>
              <w:left w:val="single" w:color="auto" w:sz="4" w:space="0"/>
              <w:bottom w:val="single" w:color="auto" w:sz="4" w:space="0"/>
              <w:right w:val="single" w:color="auto" w:sz="4" w:space="0"/>
            </w:tcBorders>
            <w:vAlign w:val="center"/>
          </w:tcPr>
          <w:p w14:paraId="2D060803">
            <w:pPr>
              <w:spacing w:line="360" w:lineRule="auto"/>
              <w:jc w:val="center"/>
              <w:rPr>
                <w:rFonts w:ascii="宋体" w:cs="Times New Roman"/>
                <w:color w:val="auto"/>
                <w:sz w:val="24"/>
                <w:szCs w:val="24"/>
                <w:highlight w:val="none"/>
              </w:rPr>
            </w:pPr>
          </w:p>
        </w:tc>
      </w:tr>
    </w:tbl>
    <w:p w14:paraId="16600296">
      <w:pPr>
        <w:pStyle w:val="54"/>
        <w:spacing w:after="0" w:line="360" w:lineRule="auto"/>
        <w:jc w:val="both"/>
        <w:rPr>
          <w:rFonts w:cs="Times New Roman"/>
          <w:color w:val="auto"/>
          <w:highlight w:val="none"/>
        </w:rPr>
      </w:pPr>
    </w:p>
    <w:p w14:paraId="0ABA34FC">
      <w:pPr>
        <w:spacing w:line="360" w:lineRule="auto"/>
        <w:rPr>
          <w:rFonts w:ascii="宋体" w:cs="Times New Roman"/>
          <w:color w:val="auto"/>
          <w:highlight w:val="none"/>
        </w:rPr>
      </w:pPr>
      <w:r>
        <w:rPr>
          <w:rFonts w:hint="eastAsia" w:ascii="宋体" w:hAnsi="宋体" w:cs="宋体"/>
          <w:color w:val="auto"/>
          <w:highlight w:val="none"/>
        </w:rPr>
        <w:t>注：询比响应人应根据询比响应人须知前附表第</w:t>
      </w:r>
      <w:r>
        <w:rPr>
          <w:rFonts w:ascii="宋体" w:hAnsi="宋体" w:cs="宋体"/>
          <w:color w:val="auto"/>
          <w:highlight w:val="none"/>
        </w:rPr>
        <w:t>3.5(4)</w:t>
      </w:r>
      <w:r>
        <w:rPr>
          <w:rFonts w:hint="eastAsia" w:ascii="宋体" w:hAnsi="宋体" w:cs="宋体"/>
          <w:color w:val="auto"/>
          <w:highlight w:val="none"/>
        </w:rPr>
        <w:t>项的要求在本表后附相关证明材料。</w:t>
      </w:r>
    </w:p>
    <w:p w14:paraId="44883D35">
      <w:pPr>
        <w:spacing w:line="360" w:lineRule="auto"/>
        <w:rPr>
          <w:rFonts w:ascii="宋体" w:cs="Times New Roman"/>
          <w:color w:val="auto"/>
          <w:highlight w:val="none"/>
        </w:rPr>
      </w:pPr>
      <w:r>
        <w:rPr>
          <w:rFonts w:ascii="宋体" w:cs="Times New Roman"/>
          <w:color w:val="auto"/>
          <w:highlight w:val="none"/>
        </w:rPr>
        <w:br w:type="page"/>
      </w:r>
    </w:p>
    <w:p w14:paraId="6F0CA7FF">
      <w:pPr>
        <w:pStyle w:val="3"/>
        <w:rPr>
          <w:rFonts w:ascii="宋体" w:cs="Times New Roman"/>
          <w:color w:val="auto"/>
          <w:highlight w:val="none"/>
        </w:rPr>
      </w:pPr>
      <w:bookmarkStart w:id="286" w:name="_Toc5572"/>
      <w:r>
        <w:rPr>
          <w:rFonts w:hint="eastAsia" w:ascii="宋体" w:hAnsi="宋体" w:cs="宋体"/>
          <w:color w:val="auto"/>
          <w:highlight w:val="none"/>
        </w:rPr>
        <w:t>（四）拟委任的主要人员汇总表</w:t>
      </w:r>
      <w:bookmarkEnd w:id="286"/>
    </w:p>
    <w:tbl>
      <w:tblPr>
        <w:tblStyle w:val="20"/>
        <w:tblW w:w="10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3"/>
        <w:gridCol w:w="1643"/>
        <w:gridCol w:w="1336"/>
        <w:gridCol w:w="782"/>
        <w:gridCol w:w="798"/>
        <w:gridCol w:w="1446"/>
        <w:gridCol w:w="993"/>
        <w:gridCol w:w="989"/>
        <w:gridCol w:w="1256"/>
      </w:tblGrid>
      <w:tr w14:paraId="442A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6" w:hRule="exact"/>
          <w:jc w:val="center"/>
        </w:trPr>
        <w:tc>
          <w:tcPr>
            <w:tcW w:w="973" w:type="dxa"/>
            <w:vMerge w:val="restart"/>
            <w:vAlign w:val="center"/>
          </w:tcPr>
          <w:p w14:paraId="7976684C">
            <w:pPr>
              <w:pStyle w:val="47"/>
              <w:spacing w:line="360" w:lineRule="auto"/>
              <w:jc w:val="center"/>
              <w:rPr>
                <w:rFonts w:cs="Times New Roman"/>
                <w:color w:val="auto"/>
                <w:sz w:val="24"/>
                <w:szCs w:val="24"/>
                <w:highlight w:val="none"/>
              </w:rPr>
            </w:pPr>
            <w:r>
              <w:rPr>
                <w:rFonts w:hint="eastAsia"/>
                <w:color w:val="auto"/>
                <w:sz w:val="24"/>
                <w:szCs w:val="24"/>
                <w:highlight w:val="none"/>
              </w:rPr>
              <w:t>序号</w:t>
            </w:r>
          </w:p>
        </w:tc>
        <w:tc>
          <w:tcPr>
            <w:tcW w:w="1643" w:type="dxa"/>
            <w:vMerge w:val="restart"/>
            <w:vAlign w:val="center"/>
          </w:tcPr>
          <w:p w14:paraId="5A8CF02F">
            <w:pPr>
              <w:pStyle w:val="47"/>
              <w:spacing w:line="360" w:lineRule="auto"/>
              <w:jc w:val="center"/>
              <w:rPr>
                <w:rFonts w:cs="Times New Roman"/>
                <w:color w:val="auto"/>
                <w:sz w:val="24"/>
                <w:szCs w:val="24"/>
                <w:highlight w:val="none"/>
              </w:rPr>
            </w:pPr>
            <w:r>
              <w:rPr>
                <w:rFonts w:hint="eastAsia"/>
                <w:color w:val="auto"/>
                <w:sz w:val="24"/>
                <w:szCs w:val="24"/>
                <w:highlight w:val="none"/>
              </w:rPr>
              <w:t>本项目任职</w:t>
            </w:r>
          </w:p>
        </w:tc>
        <w:tc>
          <w:tcPr>
            <w:tcW w:w="1336" w:type="dxa"/>
            <w:vMerge w:val="restart"/>
            <w:vAlign w:val="center"/>
          </w:tcPr>
          <w:p w14:paraId="30FBCD60">
            <w:pPr>
              <w:pStyle w:val="47"/>
              <w:spacing w:line="360" w:lineRule="auto"/>
              <w:jc w:val="center"/>
              <w:rPr>
                <w:rFonts w:cs="Times New Roman"/>
                <w:color w:val="auto"/>
                <w:sz w:val="24"/>
                <w:szCs w:val="24"/>
                <w:highlight w:val="none"/>
              </w:rPr>
            </w:pPr>
            <w:r>
              <w:rPr>
                <w:rFonts w:hint="eastAsia"/>
                <w:color w:val="auto"/>
                <w:sz w:val="24"/>
                <w:szCs w:val="24"/>
                <w:highlight w:val="none"/>
              </w:rPr>
              <w:t>姓名</w:t>
            </w:r>
          </w:p>
        </w:tc>
        <w:tc>
          <w:tcPr>
            <w:tcW w:w="782" w:type="dxa"/>
            <w:vMerge w:val="restart"/>
            <w:vAlign w:val="center"/>
          </w:tcPr>
          <w:p w14:paraId="25DD6D4C">
            <w:pPr>
              <w:pStyle w:val="47"/>
              <w:spacing w:line="360" w:lineRule="auto"/>
              <w:jc w:val="center"/>
              <w:rPr>
                <w:rFonts w:cs="Times New Roman"/>
                <w:color w:val="auto"/>
                <w:sz w:val="24"/>
                <w:szCs w:val="24"/>
                <w:highlight w:val="none"/>
              </w:rPr>
            </w:pPr>
            <w:r>
              <w:rPr>
                <w:rFonts w:hint="eastAsia"/>
                <w:color w:val="auto"/>
                <w:sz w:val="24"/>
                <w:szCs w:val="24"/>
                <w:highlight w:val="none"/>
              </w:rPr>
              <w:t>职称</w:t>
            </w:r>
          </w:p>
        </w:tc>
        <w:tc>
          <w:tcPr>
            <w:tcW w:w="798" w:type="dxa"/>
            <w:vMerge w:val="restart"/>
            <w:vAlign w:val="center"/>
          </w:tcPr>
          <w:p w14:paraId="164CAE54">
            <w:pPr>
              <w:pStyle w:val="47"/>
              <w:spacing w:line="360" w:lineRule="auto"/>
              <w:jc w:val="center"/>
              <w:rPr>
                <w:rFonts w:cs="Times New Roman"/>
                <w:color w:val="auto"/>
                <w:sz w:val="24"/>
                <w:szCs w:val="24"/>
                <w:highlight w:val="none"/>
              </w:rPr>
            </w:pPr>
            <w:r>
              <w:rPr>
                <w:rFonts w:hint="eastAsia"/>
                <w:color w:val="auto"/>
                <w:sz w:val="24"/>
                <w:szCs w:val="24"/>
                <w:highlight w:val="none"/>
              </w:rPr>
              <w:t>专业</w:t>
            </w:r>
          </w:p>
        </w:tc>
        <w:tc>
          <w:tcPr>
            <w:tcW w:w="3428" w:type="dxa"/>
            <w:gridSpan w:val="3"/>
            <w:vAlign w:val="center"/>
          </w:tcPr>
          <w:p w14:paraId="3B454B6E">
            <w:pPr>
              <w:pStyle w:val="47"/>
              <w:spacing w:line="360" w:lineRule="auto"/>
              <w:jc w:val="center"/>
              <w:rPr>
                <w:rFonts w:cs="Times New Roman"/>
                <w:color w:val="auto"/>
                <w:sz w:val="24"/>
                <w:szCs w:val="24"/>
                <w:highlight w:val="none"/>
              </w:rPr>
            </w:pPr>
            <w:r>
              <w:rPr>
                <w:rFonts w:hint="eastAsia"/>
                <w:color w:val="auto"/>
                <w:sz w:val="24"/>
                <w:szCs w:val="24"/>
                <w:highlight w:val="none"/>
              </w:rPr>
              <w:t>执业或职业资格证明</w:t>
            </w:r>
          </w:p>
        </w:tc>
        <w:tc>
          <w:tcPr>
            <w:tcW w:w="1256" w:type="dxa"/>
            <w:vMerge w:val="restart"/>
            <w:vAlign w:val="center"/>
          </w:tcPr>
          <w:p w14:paraId="63FAE967">
            <w:pPr>
              <w:pStyle w:val="47"/>
              <w:spacing w:line="360" w:lineRule="auto"/>
              <w:jc w:val="center"/>
              <w:rPr>
                <w:rFonts w:cs="Times New Roman"/>
                <w:color w:val="auto"/>
                <w:sz w:val="24"/>
                <w:szCs w:val="24"/>
                <w:highlight w:val="none"/>
              </w:rPr>
            </w:pPr>
            <w:r>
              <w:rPr>
                <w:rFonts w:hint="eastAsia"/>
                <w:color w:val="auto"/>
                <w:sz w:val="24"/>
                <w:szCs w:val="24"/>
                <w:highlight w:val="none"/>
              </w:rPr>
              <w:t>备注</w:t>
            </w:r>
          </w:p>
        </w:tc>
      </w:tr>
      <w:tr w14:paraId="4FE9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4" w:hRule="exact"/>
          <w:jc w:val="center"/>
        </w:trPr>
        <w:tc>
          <w:tcPr>
            <w:tcW w:w="973" w:type="dxa"/>
            <w:vMerge w:val="continue"/>
            <w:vAlign w:val="center"/>
          </w:tcPr>
          <w:p w14:paraId="5D125A03">
            <w:pPr>
              <w:spacing w:line="360" w:lineRule="auto"/>
              <w:jc w:val="center"/>
              <w:rPr>
                <w:rFonts w:ascii="宋体" w:cs="Times New Roman"/>
                <w:color w:val="auto"/>
                <w:sz w:val="24"/>
                <w:szCs w:val="24"/>
                <w:highlight w:val="none"/>
              </w:rPr>
            </w:pPr>
          </w:p>
        </w:tc>
        <w:tc>
          <w:tcPr>
            <w:tcW w:w="1643" w:type="dxa"/>
            <w:vMerge w:val="continue"/>
            <w:vAlign w:val="center"/>
          </w:tcPr>
          <w:p w14:paraId="774C82B1">
            <w:pPr>
              <w:spacing w:line="360" w:lineRule="auto"/>
              <w:jc w:val="center"/>
              <w:rPr>
                <w:rFonts w:ascii="宋体" w:cs="Times New Roman"/>
                <w:color w:val="auto"/>
                <w:sz w:val="24"/>
                <w:szCs w:val="24"/>
                <w:highlight w:val="none"/>
              </w:rPr>
            </w:pPr>
          </w:p>
        </w:tc>
        <w:tc>
          <w:tcPr>
            <w:tcW w:w="1336" w:type="dxa"/>
            <w:vMerge w:val="continue"/>
            <w:vAlign w:val="center"/>
          </w:tcPr>
          <w:p w14:paraId="4F23EC29">
            <w:pPr>
              <w:spacing w:line="360" w:lineRule="auto"/>
              <w:jc w:val="center"/>
              <w:rPr>
                <w:rFonts w:ascii="宋体" w:cs="Times New Roman"/>
                <w:color w:val="auto"/>
                <w:sz w:val="24"/>
                <w:szCs w:val="24"/>
                <w:highlight w:val="none"/>
              </w:rPr>
            </w:pPr>
          </w:p>
        </w:tc>
        <w:tc>
          <w:tcPr>
            <w:tcW w:w="782" w:type="dxa"/>
            <w:vMerge w:val="continue"/>
            <w:vAlign w:val="center"/>
          </w:tcPr>
          <w:p w14:paraId="5407CA4D">
            <w:pPr>
              <w:spacing w:line="360" w:lineRule="auto"/>
              <w:jc w:val="center"/>
              <w:rPr>
                <w:rFonts w:ascii="宋体" w:cs="Times New Roman"/>
                <w:color w:val="auto"/>
                <w:sz w:val="24"/>
                <w:szCs w:val="24"/>
                <w:highlight w:val="none"/>
              </w:rPr>
            </w:pPr>
          </w:p>
        </w:tc>
        <w:tc>
          <w:tcPr>
            <w:tcW w:w="798" w:type="dxa"/>
            <w:vMerge w:val="continue"/>
            <w:vAlign w:val="center"/>
          </w:tcPr>
          <w:p w14:paraId="7B9C2642">
            <w:pPr>
              <w:spacing w:line="360" w:lineRule="auto"/>
              <w:jc w:val="center"/>
              <w:rPr>
                <w:rFonts w:ascii="宋体" w:cs="Times New Roman"/>
                <w:color w:val="auto"/>
                <w:sz w:val="24"/>
                <w:szCs w:val="24"/>
                <w:highlight w:val="none"/>
              </w:rPr>
            </w:pPr>
          </w:p>
        </w:tc>
        <w:tc>
          <w:tcPr>
            <w:tcW w:w="1446" w:type="dxa"/>
            <w:vAlign w:val="center"/>
          </w:tcPr>
          <w:p w14:paraId="36CDAEC1">
            <w:pPr>
              <w:pStyle w:val="47"/>
              <w:spacing w:line="360" w:lineRule="auto"/>
              <w:jc w:val="center"/>
              <w:rPr>
                <w:rFonts w:cs="Times New Roman"/>
                <w:color w:val="auto"/>
                <w:sz w:val="24"/>
                <w:szCs w:val="24"/>
                <w:highlight w:val="none"/>
              </w:rPr>
            </w:pPr>
            <w:r>
              <w:rPr>
                <w:rFonts w:hint="eastAsia"/>
                <w:color w:val="auto"/>
                <w:sz w:val="24"/>
                <w:szCs w:val="24"/>
                <w:highlight w:val="none"/>
              </w:rPr>
              <w:t>证书名称</w:t>
            </w:r>
          </w:p>
        </w:tc>
        <w:tc>
          <w:tcPr>
            <w:tcW w:w="993" w:type="dxa"/>
            <w:vAlign w:val="center"/>
          </w:tcPr>
          <w:p w14:paraId="28CAAEF0">
            <w:pPr>
              <w:pStyle w:val="47"/>
              <w:spacing w:line="360" w:lineRule="auto"/>
              <w:jc w:val="center"/>
              <w:rPr>
                <w:rFonts w:cs="Times New Roman"/>
                <w:color w:val="auto"/>
                <w:sz w:val="24"/>
                <w:szCs w:val="24"/>
                <w:highlight w:val="none"/>
              </w:rPr>
            </w:pPr>
            <w:r>
              <w:rPr>
                <w:rFonts w:hint="eastAsia"/>
                <w:color w:val="auto"/>
                <w:sz w:val="24"/>
                <w:szCs w:val="24"/>
                <w:highlight w:val="none"/>
              </w:rPr>
              <w:t>级别</w:t>
            </w:r>
          </w:p>
        </w:tc>
        <w:tc>
          <w:tcPr>
            <w:tcW w:w="989" w:type="dxa"/>
            <w:vAlign w:val="center"/>
          </w:tcPr>
          <w:p w14:paraId="1FB227A3">
            <w:pPr>
              <w:pStyle w:val="47"/>
              <w:spacing w:line="360" w:lineRule="auto"/>
              <w:jc w:val="center"/>
              <w:rPr>
                <w:rFonts w:cs="Times New Roman"/>
                <w:color w:val="auto"/>
                <w:sz w:val="24"/>
                <w:szCs w:val="24"/>
                <w:highlight w:val="none"/>
              </w:rPr>
            </w:pPr>
            <w:r>
              <w:rPr>
                <w:rFonts w:hint="eastAsia"/>
                <w:color w:val="auto"/>
                <w:sz w:val="24"/>
                <w:szCs w:val="24"/>
                <w:highlight w:val="none"/>
              </w:rPr>
              <w:t>证号</w:t>
            </w:r>
          </w:p>
        </w:tc>
        <w:tc>
          <w:tcPr>
            <w:tcW w:w="1256" w:type="dxa"/>
            <w:vMerge w:val="continue"/>
            <w:vAlign w:val="center"/>
          </w:tcPr>
          <w:p w14:paraId="7600434D">
            <w:pPr>
              <w:spacing w:line="360" w:lineRule="auto"/>
              <w:jc w:val="center"/>
              <w:rPr>
                <w:rFonts w:ascii="宋体" w:cs="Times New Roman"/>
                <w:color w:val="auto"/>
                <w:sz w:val="24"/>
                <w:szCs w:val="24"/>
                <w:highlight w:val="none"/>
              </w:rPr>
            </w:pPr>
          </w:p>
        </w:tc>
      </w:tr>
      <w:tr w14:paraId="4A59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jc w:val="center"/>
        </w:trPr>
        <w:tc>
          <w:tcPr>
            <w:tcW w:w="973" w:type="dxa"/>
            <w:vAlign w:val="center"/>
          </w:tcPr>
          <w:p w14:paraId="4FCCAC72">
            <w:pPr>
              <w:spacing w:line="360" w:lineRule="auto"/>
              <w:jc w:val="center"/>
              <w:rPr>
                <w:rFonts w:ascii="宋体" w:cs="Times New Roman"/>
                <w:color w:val="auto"/>
                <w:sz w:val="24"/>
                <w:szCs w:val="24"/>
                <w:highlight w:val="none"/>
              </w:rPr>
            </w:pPr>
          </w:p>
        </w:tc>
        <w:tc>
          <w:tcPr>
            <w:tcW w:w="1643" w:type="dxa"/>
            <w:vAlign w:val="center"/>
          </w:tcPr>
          <w:p w14:paraId="07AA99F2">
            <w:pPr>
              <w:spacing w:line="360" w:lineRule="auto"/>
              <w:jc w:val="center"/>
              <w:rPr>
                <w:rFonts w:ascii="宋体" w:cs="Times New Roman"/>
                <w:color w:val="auto"/>
                <w:sz w:val="24"/>
                <w:szCs w:val="24"/>
                <w:highlight w:val="none"/>
              </w:rPr>
            </w:pPr>
          </w:p>
        </w:tc>
        <w:tc>
          <w:tcPr>
            <w:tcW w:w="1336" w:type="dxa"/>
            <w:vAlign w:val="center"/>
          </w:tcPr>
          <w:p w14:paraId="4DFB3AC9">
            <w:pPr>
              <w:spacing w:line="360" w:lineRule="auto"/>
              <w:jc w:val="center"/>
              <w:rPr>
                <w:rFonts w:ascii="宋体" w:cs="Times New Roman"/>
                <w:color w:val="auto"/>
                <w:sz w:val="24"/>
                <w:szCs w:val="24"/>
                <w:highlight w:val="none"/>
              </w:rPr>
            </w:pPr>
          </w:p>
        </w:tc>
        <w:tc>
          <w:tcPr>
            <w:tcW w:w="782" w:type="dxa"/>
            <w:vAlign w:val="center"/>
          </w:tcPr>
          <w:p w14:paraId="36EE018F">
            <w:pPr>
              <w:spacing w:line="360" w:lineRule="auto"/>
              <w:jc w:val="center"/>
              <w:rPr>
                <w:rFonts w:ascii="宋体" w:cs="Times New Roman"/>
                <w:color w:val="auto"/>
                <w:sz w:val="24"/>
                <w:szCs w:val="24"/>
                <w:highlight w:val="none"/>
              </w:rPr>
            </w:pPr>
          </w:p>
        </w:tc>
        <w:tc>
          <w:tcPr>
            <w:tcW w:w="798" w:type="dxa"/>
            <w:vAlign w:val="center"/>
          </w:tcPr>
          <w:p w14:paraId="35B06696">
            <w:pPr>
              <w:spacing w:line="360" w:lineRule="auto"/>
              <w:jc w:val="center"/>
              <w:rPr>
                <w:rFonts w:ascii="宋体" w:cs="Times New Roman"/>
                <w:color w:val="auto"/>
                <w:sz w:val="24"/>
                <w:szCs w:val="24"/>
                <w:highlight w:val="none"/>
              </w:rPr>
            </w:pPr>
          </w:p>
        </w:tc>
        <w:tc>
          <w:tcPr>
            <w:tcW w:w="1446" w:type="dxa"/>
            <w:vAlign w:val="center"/>
          </w:tcPr>
          <w:p w14:paraId="3A1A227C">
            <w:pPr>
              <w:spacing w:line="360" w:lineRule="auto"/>
              <w:jc w:val="center"/>
              <w:rPr>
                <w:rFonts w:ascii="宋体" w:cs="Times New Roman"/>
                <w:color w:val="auto"/>
                <w:sz w:val="24"/>
                <w:szCs w:val="24"/>
                <w:highlight w:val="none"/>
              </w:rPr>
            </w:pPr>
          </w:p>
        </w:tc>
        <w:tc>
          <w:tcPr>
            <w:tcW w:w="993" w:type="dxa"/>
            <w:vAlign w:val="center"/>
          </w:tcPr>
          <w:p w14:paraId="3CAC18C8">
            <w:pPr>
              <w:spacing w:line="360" w:lineRule="auto"/>
              <w:jc w:val="center"/>
              <w:rPr>
                <w:rFonts w:ascii="宋体" w:cs="Times New Roman"/>
                <w:color w:val="auto"/>
                <w:sz w:val="24"/>
                <w:szCs w:val="24"/>
                <w:highlight w:val="none"/>
              </w:rPr>
            </w:pPr>
          </w:p>
        </w:tc>
        <w:tc>
          <w:tcPr>
            <w:tcW w:w="989" w:type="dxa"/>
            <w:vAlign w:val="center"/>
          </w:tcPr>
          <w:p w14:paraId="4899147B">
            <w:pPr>
              <w:spacing w:line="360" w:lineRule="auto"/>
              <w:jc w:val="center"/>
              <w:rPr>
                <w:rFonts w:ascii="宋体" w:cs="Times New Roman"/>
                <w:color w:val="auto"/>
                <w:sz w:val="24"/>
                <w:szCs w:val="24"/>
                <w:highlight w:val="none"/>
              </w:rPr>
            </w:pPr>
          </w:p>
        </w:tc>
        <w:tc>
          <w:tcPr>
            <w:tcW w:w="1256" w:type="dxa"/>
            <w:vAlign w:val="center"/>
          </w:tcPr>
          <w:p w14:paraId="34D54C67">
            <w:pPr>
              <w:spacing w:line="360" w:lineRule="auto"/>
              <w:jc w:val="center"/>
              <w:rPr>
                <w:rFonts w:ascii="宋体" w:cs="Times New Roman"/>
                <w:color w:val="auto"/>
                <w:sz w:val="24"/>
                <w:szCs w:val="24"/>
                <w:highlight w:val="none"/>
              </w:rPr>
            </w:pPr>
          </w:p>
        </w:tc>
      </w:tr>
      <w:tr w14:paraId="3C56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jc w:val="center"/>
        </w:trPr>
        <w:tc>
          <w:tcPr>
            <w:tcW w:w="973" w:type="dxa"/>
            <w:vAlign w:val="center"/>
          </w:tcPr>
          <w:p w14:paraId="58856AA0">
            <w:pPr>
              <w:spacing w:line="360" w:lineRule="auto"/>
              <w:jc w:val="center"/>
              <w:rPr>
                <w:rFonts w:ascii="宋体" w:cs="Times New Roman"/>
                <w:color w:val="auto"/>
                <w:sz w:val="24"/>
                <w:szCs w:val="24"/>
                <w:highlight w:val="none"/>
              </w:rPr>
            </w:pPr>
          </w:p>
        </w:tc>
        <w:tc>
          <w:tcPr>
            <w:tcW w:w="1643" w:type="dxa"/>
            <w:vAlign w:val="center"/>
          </w:tcPr>
          <w:p w14:paraId="06A6F6E0">
            <w:pPr>
              <w:spacing w:line="360" w:lineRule="auto"/>
              <w:jc w:val="center"/>
              <w:rPr>
                <w:rFonts w:ascii="宋体" w:cs="Times New Roman"/>
                <w:color w:val="auto"/>
                <w:sz w:val="24"/>
                <w:szCs w:val="24"/>
                <w:highlight w:val="none"/>
              </w:rPr>
            </w:pPr>
          </w:p>
        </w:tc>
        <w:tc>
          <w:tcPr>
            <w:tcW w:w="1336" w:type="dxa"/>
            <w:vAlign w:val="center"/>
          </w:tcPr>
          <w:p w14:paraId="7641DC23">
            <w:pPr>
              <w:spacing w:line="360" w:lineRule="auto"/>
              <w:jc w:val="center"/>
              <w:rPr>
                <w:rFonts w:ascii="宋体" w:cs="Times New Roman"/>
                <w:color w:val="auto"/>
                <w:sz w:val="24"/>
                <w:szCs w:val="24"/>
                <w:highlight w:val="none"/>
              </w:rPr>
            </w:pPr>
          </w:p>
        </w:tc>
        <w:tc>
          <w:tcPr>
            <w:tcW w:w="782" w:type="dxa"/>
            <w:vAlign w:val="center"/>
          </w:tcPr>
          <w:p w14:paraId="7BB7063E">
            <w:pPr>
              <w:spacing w:line="360" w:lineRule="auto"/>
              <w:jc w:val="center"/>
              <w:rPr>
                <w:rFonts w:ascii="宋体" w:cs="Times New Roman"/>
                <w:color w:val="auto"/>
                <w:sz w:val="24"/>
                <w:szCs w:val="24"/>
                <w:highlight w:val="none"/>
              </w:rPr>
            </w:pPr>
          </w:p>
        </w:tc>
        <w:tc>
          <w:tcPr>
            <w:tcW w:w="798" w:type="dxa"/>
            <w:vAlign w:val="center"/>
          </w:tcPr>
          <w:p w14:paraId="6EF3BDFB">
            <w:pPr>
              <w:spacing w:line="360" w:lineRule="auto"/>
              <w:jc w:val="center"/>
              <w:rPr>
                <w:rFonts w:ascii="宋体" w:cs="Times New Roman"/>
                <w:color w:val="auto"/>
                <w:sz w:val="24"/>
                <w:szCs w:val="24"/>
                <w:highlight w:val="none"/>
              </w:rPr>
            </w:pPr>
          </w:p>
        </w:tc>
        <w:tc>
          <w:tcPr>
            <w:tcW w:w="1446" w:type="dxa"/>
            <w:vAlign w:val="center"/>
          </w:tcPr>
          <w:p w14:paraId="3FEF3EA7">
            <w:pPr>
              <w:spacing w:line="360" w:lineRule="auto"/>
              <w:jc w:val="center"/>
              <w:rPr>
                <w:rFonts w:ascii="宋体" w:cs="Times New Roman"/>
                <w:color w:val="auto"/>
                <w:sz w:val="24"/>
                <w:szCs w:val="24"/>
                <w:highlight w:val="none"/>
              </w:rPr>
            </w:pPr>
          </w:p>
        </w:tc>
        <w:tc>
          <w:tcPr>
            <w:tcW w:w="993" w:type="dxa"/>
            <w:vAlign w:val="center"/>
          </w:tcPr>
          <w:p w14:paraId="3792A509">
            <w:pPr>
              <w:spacing w:line="360" w:lineRule="auto"/>
              <w:jc w:val="center"/>
              <w:rPr>
                <w:rFonts w:ascii="宋体" w:cs="Times New Roman"/>
                <w:color w:val="auto"/>
                <w:sz w:val="24"/>
                <w:szCs w:val="24"/>
                <w:highlight w:val="none"/>
              </w:rPr>
            </w:pPr>
          </w:p>
        </w:tc>
        <w:tc>
          <w:tcPr>
            <w:tcW w:w="989" w:type="dxa"/>
            <w:vAlign w:val="center"/>
          </w:tcPr>
          <w:p w14:paraId="02EA4974">
            <w:pPr>
              <w:spacing w:line="360" w:lineRule="auto"/>
              <w:jc w:val="center"/>
              <w:rPr>
                <w:rFonts w:ascii="宋体" w:cs="Times New Roman"/>
                <w:color w:val="auto"/>
                <w:sz w:val="24"/>
                <w:szCs w:val="24"/>
                <w:highlight w:val="none"/>
              </w:rPr>
            </w:pPr>
          </w:p>
        </w:tc>
        <w:tc>
          <w:tcPr>
            <w:tcW w:w="1256" w:type="dxa"/>
            <w:vAlign w:val="center"/>
          </w:tcPr>
          <w:p w14:paraId="694DE59C">
            <w:pPr>
              <w:spacing w:line="360" w:lineRule="auto"/>
              <w:jc w:val="center"/>
              <w:rPr>
                <w:rFonts w:ascii="宋体" w:cs="Times New Roman"/>
                <w:color w:val="auto"/>
                <w:sz w:val="24"/>
                <w:szCs w:val="24"/>
                <w:highlight w:val="none"/>
              </w:rPr>
            </w:pPr>
          </w:p>
        </w:tc>
      </w:tr>
      <w:tr w14:paraId="71C1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5" w:hRule="exact"/>
          <w:jc w:val="center"/>
        </w:trPr>
        <w:tc>
          <w:tcPr>
            <w:tcW w:w="973" w:type="dxa"/>
            <w:vAlign w:val="center"/>
          </w:tcPr>
          <w:p w14:paraId="3AB08402">
            <w:pPr>
              <w:spacing w:line="360" w:lineRule="auto"/>
              <w:jc w:val="center"/>
              <w:rPr>
                <w:rFonts w:ascii="宋体" w:cs="Times New Roman"/>
                <w:color w:val="auto"/>
                <w:sz w:val="24"/>
                <w:szCs w:val="24"/>
                <w:highlight w:val="none"/>
              </w:rPr>
            </w:pPr>
          </w:p>
        </w:tc>
        <w:tc>
          <w:tcPr>
            <w:tcW w:w="1643" w:type="dxa"/>
            <w:vAlign w:val="center"/>
          </w:tcPr>
          <w:p w14:paraId="34C993BA">
            <w:pPr>
              <w:spacing w:line="360" w:lineRule="auto"/>
              <w:jc w:val="center"/>
              <w:rPr>
                <w:rFonts w:ascii="宋体" w:cs="Times New Roman"/>
                <w:color w:val="auto"/>
                <w:sz w:val="24"/>
                <w:szCs w:val="24"/>
                <w:highlight w:val="none"/>
              </w:rPr>
            </w:pPr>
          </w:p>
        </w:tc>
        <w:tc>
          <w:tcPr>
            <w:tcW w:w="1336" w:type="dxa"/>
            <w:vAlign w:val="center"/>
          </w:tcPr>
          <w:p w14:paraId="7374D469">
            <w:pPr>
              <w:spacing w:line="360" w:lineRule="auto"/>
              <w:jc w:val="center"/>
              <w:rPr>
                <w:rFonts w:ascii="宋体" w:cs="Times New Roman"/>
                <w:color w:val="auto"/>
                <w:sz w:val="24"/>
                <w:szCs w:val="24"/>
                <w:highlight w:val="none"/>
              </w:rPr>
            </w:pPr>
          </w:p>
        </w:tc>
        <w:tc>
          <w:tcPr>
            <w:tcW w:w="782" w:type="dxa"/>
            <w:vAlign w:val="center"/>
          </w:tcPr>
          <w:p w14:paraId="55C52F91">
            <w:pPr>
              <w:spacing w:line="360" w:lineRule="auto"/>
              <w:jc w:val="center"/>
              <w:rPr>
                <w:rFonts w:ascii="宋体" w:cs="Times New Roman"/>
                <w:color w:val="auto"/>
                <w:sz w:val="24"/>
                <w:szCs w:val="24"/>
                <w:highlight w:val="none"/>
              </w:rPr>
            </w:pPr>
          </w:p>
        </w:tc>
        <w:tc>
          <w:tcPr>
            <w:tcW w:w="798" w:type="dxa"/>
            <w:vAlign w:val="center"/>
          </w:tcPr>
          <w:p w14:paraId="64536CFD">
            <w:pPr>
              <w:spacing w:line="360" w:lineRule="auto"/>
              <w:jc w:val="center"/>
              <w:rPr>
                <w:rFonts w:ascii="宋体" w:cs="Times New Roman"/>
                <w:color w:val="auto"/>
                <w:sz w:val="24"/>
                <w:szCs w:val="24"/>
                <w:highlight w:val="none"/>
              </w:rPr>
            </w:pPr>
          </w:p>
        </w:tc>
        <w:tc>
          <w:tcPr>
            <w:tcW w:w="1446" w:type="dxa"/>
            <w:vAlign w:val="center"/>
          </w:tcPr>
          <w:p w14:paraId="4C3BBD96">
            <w:pPr>
              <w:spacing w:line="360" w:lineRule="auto"/>
              <w:jc w:val="center"/>
              <w:rPr>
                <w:rFonts w:ascii="宋体" w:cs="Times New Roman"/>
                <w:color w:val="auto"/>
                <w:sz w:val="24"/>
                <w:szCs w:val="24"/>
                <w:highlight w:val="none"/>
              </w:rPr>
            </w:pPr>
          </w:p>
        </w:tc>
        <w:tc>
          <w:tcPr>
            <w:tcW w:w="993" w:type="dxa"/>
            <w:vAlign w:val="center"/>
          </w:tcPr>
          <w:p w14:paraId="6E0EBDC2">
            <w:pPr>
              <w:spacing w:line="360" w:lineRule="auto"/>
              <w:jc w:val="center"/>
              <w:rPr>
                <w:rFonts w:ascii="宋体" w:cs="Times New Roman"/>
                <w:color w:val="auto"/>
                <w:sz w:val="24"/>
                <w:szCs w:val="24"/>
                <w:highlight w:val="none"/>
              </w:rPr>
            </w:pPr>
          </w:p>
        </w:tc>
        <w:tc>
          <w:tcPr>
            <w:tcW w:w="989" w:type="dxa"/>
            <w:vAlign w:val="center"/>
          </w:tcPr>
          <w:p w14:paraId="3C0AB876">
            <w:pPr>
              <w:spacing w:line="360" w:lineRule="auto"/>
              <w:jc w:val="center"/>
              <w:rPr>
                <w:rFonts w:ascii="宋体" w:cs="Times New Roman"/>
                <w:color w:val="auto"/>
                <w:sz w:val="24"/>
                <w:szCs w:val="24"/>
                <w:highlight w:val="none"/>
              </w:rPr>
            </w:pPr>
          </w:p>
        </w:tc>
        <w:tc>
          <w:tcPr>
            <w:tcW w:w="1256" w:type="dxa"/>
            <w:vAlign w:val="center"/>
          </w:tcPr>
          <w:p w14:paraId="3846EBAF">
            <w:pPr>
              <w:spacing w:line="360" w:lineRule="auto"/>
              <w:jc w:val="center"/>
              <w:rPr>
                <w:rFonts w:ascii="宋体" w:cs="Times New Roman"/>
                <w:color w:val="auto"/>
                <w:sz w:val="24"/>
                <w:szCs w:val="24"/>
                <w:highlight w:val="none"/>
              </w:rPr>
            </w:pPr>
          </w:p>
        </w:tc>
      </w:tr>
      <w:tr w14:paraId="27F8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jc w:val="center"/>
        </w:trPr>
        <w:tc>
          <w:tcPr>
            <w:tcW w:w="973" w:type="dxa"/>
            <w:vAlign w:val="center"/>
          </w:tcPr>
          <w:p w14:paraId="3ABA0F72">
            <w:pPr>
              <w:spacing w:line="360" w:lineRule="auto"/>
              <w:jc w:val="center"/>
              <w:rPr>
                <w:rFonts w:ascii="宋体" w:cs="Times New Roman"/>
                <w:color w:val="auto"/>
                <w:sz w:val="24"/>
                <w:szCs w:val="24"/>
                <w:highlight w:val="none"/>
              </w:rPr>
            </w:pPr>
          </w:p>
        </w:tc>
        <w:tc>
          <w:tcPr>
            <w:tcW w:w="1643" w:type="dxa"/>
            <w:vAlign w:val="center"/>
          </w:tcPr>
          <w:p w14:paraId="309F2A38">
            <w:pPr>
              <w:spacing w:line="360" w:lineRule="auto"/>
              <w:jc w:val="center"/>
              <w:rPr>
                <w:rFonts w:ascii="宋体" w:cs="Times New Roman"/>
                <w:color w:val="auto"/>
                <w:sz w:val="24"/>
                <w:szCs w:val="24"/>
                <w:highlight w:val="none"/>
              </w:rPr>
            </w:pPr>
          </w:p>
        </w:tc>
        <w:tc>
          <w:tcPr>
            <w:tcW w:w="1336" w:type="dxa"/>
            <w:vAlign w:val="center"/>
          </w:tcPr>
          <w:p w14:paraId="4E107A57">
            <w:pPr>
              <w:spacing w:line="360" w:lineRule="auto"/>
              <w:jc w:val="center"/>
              <w:rPr>
                <w:rFonts w:ascii="宋体" w:cs="Times New Roman"/>
                <w:color w:val="auto"/>
                <w:sz w:val="24"/>
                <w:szCs w:val="24"/>
                <w:highlight w:val="none"/>
              </w:rPr>
            </w:pPr>
          </w:p>
        </w:tc>
        <w:tc>
          <w:tcPr>
            <w:tcW w:w="782" w:type="dxa"/>
            <w:vAlign w:val="center"/>
          </w:tcPr>
          <w:p w14:paraId="74889EC2">
            <w:pPr>
              <w:spacing w:line="360" w:lineRule="auto"/>
              <w:jc w:val="center"/>
              <w:rPr>
                <w:rFonts w:ascii="宋体" w:cs="Times New Roman"/>
                <w:color w:val="auto"/>
                <w:sz w:val="24"/>
                <w:szCs w:val="24"/>
                <w:highlight w:val="none"/>
              </w:rPr>
            </w:pPr>
          </w:p>
        </w:tc>
        <w:tc>
          <w:tcPr>
            <w:tcW w:w="798" w:type="dxa"/>
            <w:vAlign w:val="center"/>
          </w:tcPr>
          <w:p w14:paraId="3EE716D7">
            <w:pPr>
              <w:spacing w:line="360" w:lineRule="auto"/>
              <w:jc w:val="center"/>
              <w:rPr>
                <w:rFonts w:ascii="宋体" w:cs="Times New Roman"/>
                <w:color w:val="auto"/>
                <w:sz w:val="24"/>
                <w:szCs w:val="24"/>
                <w:highlight w:val="none"/>
              </w:rPr>
            </w:pPr>
          </w:p>
        </w:tc>
        <w:tc>
          <w:tcPr>
            <w:tcW w:w="1446" w:type="dxa"/>
            <w:vAlign w:val="center"/>
          </w:tcPr>
          <w:p w14:paraId="51FCE32D">
            <w:pPr>
              <w:spacing w:line="360" w:lineRule="auto"/>
              <w:jc w:val="center"/>
              <w:rPr>
                <w:rFonts w:ascii="宋体" w:cs="Times New Roman"/>
                <w:color w:val="auto"/>
                <w:sz w:val="24"/>
                <w:szCs w:val="24"/>
                <w:highlight w:val="none"/>
              </w:rPr>
            </w:pPr>
          </w:p>
        </w:tc>
        <w:tc>
          <w:tcPr>
            <w:tcW w:w="993" w:type="dxa"/>
            <w:vAlign w:val="center"/>
          </w:tcPr>
          <w:p w14:paraId="026A7A85">
            <w:pPr>
              <w:spacing w:line="360" w:lineRule="auto"/>
              <w:jc w:val="center"/>
              <w:rPr>
                <w:rFonts w:ascii="宋体" w:cs="Times New Roman"/>
                <w:color w:val="auto"/>
                <w:sz w:val="24"/>
                <w:szCs w:val="24"/>
                <w:highlight w:val="none"/>
              </w:rPr>
            </w:pPr>
          </w:p>
        </w:tc>
        <w:tc>
          <w:tcPr>
            <w:tcW w:w="989" w:type="dxa"/>
            <w:vAlign w:val="center"/>
          </w:tcPr>
          <w:p w14:paraId="4E4556DD">
            <w:pPr>
              <w:spacing w:line="360" w:lineRule="auto"/>
              <w:jc w:val="center"/>
              <w:rPr>
                <w:rFonts w:ascii="宋体" w:cs="Times New Roman"/>
                <w:color w:val="auto"/>
                <w:sz w:val="24"/>
                <w:szCs w:val="24"/>
                <w:highlight w:val="none"/>
              </w:rPr>
            </w:pPr>
          </w:p>
        </w:tc>
        <w:tc>
          <w:tcPr>
            <w:tcW w:w="1256" w:type="dxa"/>
            <w:vAlign w:val="center"/>
          </w:tcPr>
          <w:p w14:paraId="0997EE9D">
            <w:pPr>
              <w:spacing w:line="360" w:lineRule="auto"/>
              <w:jc w:val="center"/>
              <w:rPr>
                <w:rFonts w:ascii="宋体" w:cs="Times New Roman"/>
                <w:color w:val="auto"/>
                <w:sz w:val="24"/>
                <w:szCs w:val="24"/>
                <w:highlight w:val="none"/>
              </w:rPr>
            </w:pPr>
          </w:p>
        </w:tc>
      </w:tr>
      <w:tr w14:paraId="2E74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6" w:hRule="exact"/>
          <w:jc w:val="center"/>
        </w:trPr>
        <w:tc>
          <w:tcPr>
            <w:tcW w:w="973" w:type="dxa"/>
            <w:vAlign w:val="center"/>
          </w:tcPr>
          <w:p w14:paraId="2F38D709">
            <w:pPr>
              <w:spacing w:line="360" w:lineRule="auto"/>
              <w:jc w:val="center"/>
              <w:rPr>
                <w:rFonts w:ascii="宋体" w:cs="Times New Roman"/>
                <w:color w:val="auto"/>
                <w:sz w:val="24"/>
                <w:szCs w:val="24"/>
                <w:highlight w:val="none"/>
              </w:rPr>
            </w:pPr>
          </w:p>
        </w:tc>
        <w:tc>
          <w:tcPr>
            <w:tcW w:w="1643" w:type="dxa"/>
            <w:vAlign w:val="center"/>
          </w:tcPr>
          <w:p w14:paraId="3B0F8F31">
            <w:pPr>
              <w:spacing w:line="360" w:lineRule="auto"/>
              <w:jc w:val="center"/>
              <w:rPr>
                <w:rFonts w:ascii="宋体" w:cs="Times New Roman"/>
                <w:color w:val="auto"/>
                <w:sz w:val="24"/>
                <w:szCs w:val="24"/>
                <w:highlight w:val="none"/>
              </w:rPr>
            </w:pPr>
          </w:p>
        </w:tc>
        <w:tc>
          <w:tcPr>
            <w:tcW w:w="1336" w:type="dxa"/>
            <w:vAlign w:val="center"/>
          </w:tcPr>
          <w:p w14:paraId="15496E2B">
            <w:pPr>
              <w:spacing w:line="360" w:lineRule="auto"/>
              <w:jc w:val="center"/>
              <w:rPr>
                <w:rFonts w:ascii="宋体" w:cs="Times New Roman"/>
                <w:color w:val="auto"/>
                <w:sz w:val="24"/>
                <w:szCs w:val="24"/>
                <w:highlight w:val="none"/>
              </w:rPr>
            </w:pPr>
          </w:p>
        </w:tc>
        <w:tc>
          <w:tcPr>
            <w:tcW w:w="782" w:type="dxa"/>
            <w:vAlign w:val="center"/>
          </w:tcPr>
          <w:p w14:paraId="6199AA56">
            <w:pPr>
              <w:spacing w:line="360" w:lineRule="auto"/>
              <w:jc w:val="center"/>
              <w:rPr>
                <w:rFonts w:ascii="宋体" w:cs="Times New Roman"/>
                <w:color w:val="auto"/>
                <w:sz w:val="24"/>
                <w:szCs w:val="24"/>
                <w:highlight w:val="none"/>
              </w:rPr>
            </w:pPr>
          </w:p>
        </w:tc>
        <w:tc>
          <w:tcPr>
            <w:tcW w:w="798" w:type="dxa"/>
            <w:vAlign w:val="center"/>
          </w:tcPr>
          <w:p w14:paraId="5F604D38">
            <w:pPr>
              <w:spacing w:line="360" w:lineRule="auto"/>
              <w:jc w:val="center"/>
              <w:rPr>
                <w:rFonts w:ascii="宋体" w:cs="Times New Roman"/>
                <w:color w:val="auto"/>
                <w:sz w:val="24"/>
                <w:szCs w:val="24"/>
                <w:highlight w:val="none"/>
              </w:rPr>
            </w:pPr>
          </w:p>
        </w:tc>
        <w:tc>
          <w:tcPr>
            <w:tcW w:w="1446" w:type="dxa"/>
            <w:vAlign w:val="center"/>
          </w:tcPr>
          <w:p w14:paraId="31159BD7">
            <w:pPr>
              <w:spacing w:line="360" w:lineRule="auto"/>
              <w:jc w:val="center"/>
              <w:rPr>
                <w:rFonts w:ascii="宋体" w:cs="Times New Roman"/>
                <w:color w:val="auto"/>
                <w:sz w:val="24"/>
                <w:szCs w:val="24"/>
                <w:highlight w:val="none"/>
              </w:rPr>
            </w:pPr>
          </w:p>
        </w:tc>
        <w:tc>
          <w:tcPr>
            <w:tcW w:w="993" w:type="dxa"/>
            <w:vAlign w:val="center"/>
          </w:tcPr>
          <w:p w14:paraId="0825F147">
            <w:pPr>
              <w:spacing w:line="360" w:lineRule="auto"/>
              <w:jc w:val="center"/>
              <w:rPr>
                <w:rFonts w:ascii="宋体" w:cs="Times New Roman"/>
                <w:color w:val="auto"/>
                <w:sz w:val="24"/>
                <w:szCs w:val="24"/>
                <w:highlight w:val="none"/>
              </w:rPr>
            </w:pPr>
          </w:p>
        </w:tc>
        <w:tc>
          <w:tcPr>
            <w:tcW w:w="989" w:type="dxa"/>
            <w:vAlign w:val="center"/>
          </w:tcPr>
          <w:p w14:paraId="26B604D3">
            <w:pPr>
              <w:spacing w:line="360" w:lineRule="auto"/>
              <w:jc w:val="center"/>
              <w:rPr>
                <w:rFonts w:ascii="宋体" w:cs="Times New Roman"/>
                <w:color w:val="auto"/>
                <w:sz w:val="24"/>
                <w:szCs w:val="24"/>
                <w:highlight w:val="none"/>
              </w:rPr>
            </w:pPr>
          </w:p>
        </w:tc>
        <w:tc>
          <w:tcPr>
            <w:tcW w:w="1256" w:type="dxa"/>
            <w:vAlign w:val="center"/>
          </w:tcPr>
          <w:p w14:paraId="21586F43">
            <w:pPr>
              <w:spacing w:line="360" w:lineRule="auto"/>
              <w:jc w:val="center"/>
              <w:rPr>
                <w:rFonts w:ascii="宋体" w:cs="Times New Roman"/>
                <w:color w:val="auto"/>
                <w:sz w:val="24"/>
                <w:szCs w:val="24"/>
                <w:highlight w:val="none"/>
              </w:rPr>
            </w:pPr>
          </w:p>
        </w:tc>
      </w:tr>
      <w:tr w14:paraId="3C97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jc w:val="center"/>
        </w:trPr>
        <w:tc>
          <w:tcPr>
            <w:tcW w:w="973" w:type="dxa"/>
            <w:vAlign w:val="center"/>
          </w:tcPr>
          <w:p w14:paraId="4B95AA2B">
            <w:pPr>
              <w:spacing w:line="360" w:lineRule="auto"/>
              <w:jc w:val="center"/>
              <w:rPr>
                <w:rFonts w:ascii="宋体" w:cs="Times New Roman"/>
                <w:color w:val="auto"/>
                <w:sz w:val="24"/>
                <w:szCs w:val="24"/>
                <w:highlight w:val="none"/>
              </w:rPr>
            </w:pPr>
          </w:p>
        </w:tc>
        <w:tc>
          <w:tcPr>
            <w:tcW w:w="1643" w:type="dxa"/>
            <w:vAlign w:val="center"/>
          </w:tcPr>
          <w:p w14:paraId="397E5F07">
            <w:pPr>
              <w:spacing w:line="360" w:lineRule="auto"/>
              <w:jc w:val="center"/>
              <w:rPr>
                <w:rFonts w:ascii="宋体" w:cs="Times New Roman"/>
                <w:color w:val="auto"/>
                <w:sz w:val="24"/>
                <w:szCs w:val="24"/>
                <w:highlight w:val="none"/>
              </w:rPr>
            </w:pPr>
          </w:p>
        </w:tc>
        <w:tc>
          <w:tcPr>
            <w:tcW w:w="1336" w:type="dxa"/>
            <w:vAlign w:val="center"/>
          </w:tcPr>
          <w:p w14:paraId="2D8CB218">
            <w:pPr>
              <w:spacing w:line="360" w:lineRule="auto"/>
              <w:jc w:val="center"/>
              <w:rPr>
                <w:rFonts w:ascii="宋体" w:cs="Times New Roman"/>
                <w:color w:val="auto"/>
                <w:sz w:val="24"/>
                <w:szCs w:val="24"/>
                <w:highlight w:val="none"/>
              </w:rPr>
            </w:pPr>
          </w:p>
        </w:tc>
        <w:tc>
          <w:tcPr>
            <w:tcW w:w="782" w:type="dxa"/>
            <w:vAlign w:val="center"/>
          </w:tcPr>
          <w:p w14:paraId="27997859">
            <w:pPr>
              <w:spacing w:line="360" w:lineRule="auto"/>
              <w:jc w:val="center"/>
              <w:rPr>
                <w:rFonts w:ascii="宋体" w:cs="Times New Roman"/>
                <w:color w:val="auto"/>
                <w:sz w:val="24"/>
                <w:szCs w:val="24"/>
                <w:highlight w:val="none"/>
              </w:rPr>
            </w:pPr>
          </w:p>
        </w:tc>
        <w:tc>
          <w:tcPr>
            <w:tcW w:w="798" w:type="dxa"/>
            <w:vAlign w:val="center"/>
          </w:tcPr>
          <w:p w14:paraId="6A6F9F19">
            <w:pPr>
              <w:spacing w:line="360" w:lineRule="auto"/>
              <w:jc w:val="center"/>
              <w:rPr>
                <w:rFonts w:ascii="宋体" w:cs="Times New Roman"/>
                <w:color w:val="auto"/>
                <w:sz w:val="24"/>
                <w:szCs w:val="24"/>
                <w:highlight w:val="none"/>
              </w:rPr>
            </w:pPr>
          </w:p>
        </w:tc>
        <w:tc>
          <w:tcPr>
            <w:tcW w:w="1446" w:type="dxa"/>
            <w:vAlign w:val="center"/>
          </w:tcPr>
          <w:p w14:paraId="5F628FAF">
            <w:pPr>
              <w:spacing w:line="360" w:lineRule="auto"/>
              <w:jc w:val="center"/>
              <w:rPr>
                <w:rFonts w:ascii="宋体" w:cs="Times New Roman"/>
                <w:color w:val="auto"/>
                <w:sz w:val="24"/>
                <w:szCs w:val="24"/>
                <w:highlight w:val="none"/>
              </w:rPr>
            </w:pPr>
          </w:p>
        </w:tc>
        <w:tc>
          <w:tcPr>
            <w:tcW w:w="993" w:type="dxa"/>
            <w:vAlign w:val="center"/>
          </w:tcPr>
          <w:p w14:paraId="5C8D6FB2">
            <w:pPr>
              <w:spacing w:line="360" w:lineRule="auto"/>
              <w:jc w:val="center"/>
              <w:rPr>
                <w:rFonts w:ascii="宋体" w:cs="Times New Roman"/>
                <w:color w:val="auto"/>
                <w:sz w:val="24"/>
                <w:szCs w:val="24"/>
                <w:highlight w:val="none"/>
              </w:rPr>
            </w:pPr>
          </w:p>
        </w:tc>
        <w:tc>
          <w:tcPr>
            <w:tcW w:w="989" w:type="dxa"/>
            <w:vAlign w:val="center"/>
          </w:tcPr>
          <w:p w14:paraId="323C2DF7">
            <w:pPr>
              <w:spacing w:line="360" w:lineRule="auto"/>
              <w:jc w:val="center"/>
              <w:rPr>
                <w:rFonts w:ascii="宋体" w:cs="Times New Roman"/>
                <w:color w:val="auto"/>
                <w:sz w:val="24"/>
                <w:szCs w:val="24"/>
                <w:highlight w:val="none"/>
              </w:rPr>
            </w:pPr>
          </w:p>
        </w:tc>
        <w:tc>
          <w:tcPr>
            <w:tcW w:w="1256" w:type="dxa"/>
            <w:vAlign w:val="center"/>
          </w:tcPr>
          <w:p w14:paraId="6DE9F192">
            <w:pPr>
              <w:spacing w:line="360" w:lineRule="auto"/>
              <w:jc w:val="center"/>
              <w:rPr>
                <w:rFonts w:ascii="宋体" w:cs="Times New Roman"/>
                <w:color w:val="auto"/>
                <w:sz w:val="24"/>
                <w:szCs w:val="24"/>
                <w:highlight w:val="none"/>
              </w:rPr>
            </w:pPr>
          </w:p>
        </w:tc>
      </w:tr>
    </w:tbl>
    <w:p w14:paraId="01B847CC">
      <w:pPr>
        <w:pStyle w:val="54"/>
        <w:spacing w:after="0" w:line="360" w:lineRule="auto"/>
        <w:rPr>
          <w:rFonts w:cs="Times New Roman"/>
          <w:color w:val="auto"/>
          <w:highlight w:val="none"/>
        </w:rPr>
      </w:pPr>
      <w:r>
        <w:rPr>
          <w:color w:val="auto"/>
          <w:highlight w:val="none"/>
        </w:rPr>
        <w:t>(</w:t>
      </w:r>
      <w:r>
        <w:rPr>
          <w:rFonts w:hint="eastAsia"/>
          <w:color w:val="auto"/>
          <w:highlight w:val="none"/>
        </w:rPr>
        <w:t>五</w:t>
      </w:r>
      <w:r>
        <w:rPr>
          <w:color w:val="auto"/>
          <w:highlight w:val="none"/>
        </w:rPr>
        <w:t>)</w:t>
      </w:r>
      <w:r>
        <w:rPr>
          <w:rFonts w:hint="eastAsia"/>
          <w:color w:val="auto"/>
          <w:highlight w:val="none"/>
        </w:rPr>
        <w:t>主要人员简历表</w:t>
      </w:r>
    </w:p>
    <w:tbl>
      <w:tblPr>
        <w:tblStyle w:val="20"/>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19"/>
        <w:gridCol w:w="364"/>
        <w:gridCol w:w="781"/>
        <w:gridCol w:w="1036"/>
        <w:gridCol w:w="1151"/>
        <w:gridCol w:w="742"/>
        <w:gridCol w:w="1364"/>
        <w:gridCol w:w="463"/>
        <w:gridCol w:w="2678"/>
      </w:tblGrid>
      <w:tr w14:paraId="078D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3" w:hRule="exact"/>
          <w:jc w:val="center"/>
        </w:trPr>
        <w:tc>
          <w:tcPr>
            <w:tcW w:w="1319" w:type="dxa"/>
            <w:vAlign w:val="center"/>
          </w:tcPr>
          <w:p w14:paraId="592981D1">
            <w:pPr>
              <w:pStyle w:val="47"/>
              <w:spacing w:line="360" w:lineRule="auto"/>
              <w:jc w:val="center"/>
              <w:rPr>
                <w:rFonts w:cs="Times New Roman"/>
                <w:color w:val="auto"/>
                <w:sz w:val="24"/>
                <w:szCs w:val="24"/>
                <w:highlight w:val="none"/>
              </w:rPr>
            </w:pPr>
            <w:r>
              <w:rPr>
                <w:rFonts w:hint="eastAsia"/>
                <w:color w:val="auto"/>
                <w:sz w:val="24"/>
                <w:szCs w:val="24"/>
                <w:highlight w:val="none"/>
              </w:rPr>
              <w:t>姓名</w:t>
            </w:r>
          </w:p>
        </w:tc>
        <w:tc>
          <w:tcPr>
            <w:tcW w:w="1145" w:type="dxa"/>
            <w:gridSpan w:val="2"/>
            <w:vAlign w:val="center"/>
          </w:tcPr>
          <w:p w14:paraId="63886B3E">
            <w:pPr>
              <w:spacing w:line="360" w:lineRule="auto"/>
              <w:jc w:val="center"/>
              <w:rPr>
                <w:rFonts w:ascii="宋体" w:cs="Times New Roman"/>
                <w:color w:val="auto"/>
                <w:sz w:val="24"/>
                <w:szCs w:val="24"/>
                <w:highlight w:val="none"/>
              </w:rPr>
            </w:pPr>
          </w:p>
        </w:tc>
        <w:tc>
          <w:tcPr>
            <w:tcW w:w="1036" w:type="dxa"/>
            <w:vAlign w:val="center"/>
          </w:tcPr>
          <w:p w14:paraId="312825BB">
            <w:pPr>
              <w:pStyle w:val="47"/>
              <w:spacing w:line="360" w:lineRule="auto"/>
              <w:jc w:val="center"/>
              <w:rPr>
                <w:rFonts w:cs="Times New Roman"/>
                <w:color w:val="auto"/>
                <w:sz w:val="24"/>
                <w:szCs w:val="24"/>
                <w:highlight w:val="none"/>
              </w:rPr>
            </w:pPr>
            <w:r>
              <w:rPr>
                <w:rFonts w:hint="eastAsia"/>
                <w:color w:val="auto"/>
                <w:sz w:val="24"/>
                <w:szCs w:val="24"/>
                <w:highlight w:val="none"/>
              </w:rPr>
              <w:t>年龄</w:t>
            </w:r>
          </w:p>
        </w:tc>
        <w:tc>
          <w:tcPr>
            <w:tcW w:w="1151" w:type="dxa"/>
            <w:vAlign w:val="center"/>
          </w:tcPr>
          <w:p w14:paraId="3D6F4971">
            <w:pPr>
              <w:spacing w:line="360" w:lineRule="auto"/>
              <w:jc w:val="center"/>
              <w:rPr>
                <w:rFonts w:ascii="宋体" w:cs="Times New Roman"/>
                <w:color w:val="auto"/>
                <w:sz w:val="24"/>
                <w:szCs w:val="24"/>
                <w:highlight w:val="none"/>
              </w:rPr>
            </w:pPr>
          </w:p>
        </w:tc>
        <w:tc>
          <w:tcPr>
            <w:tcW w:w="2569" w:type="dxa"/>
            <w:gridSpan w:val="3"/>
            <w:vAlign w:val="center"/>
          </w:tcPr>
          <w:p w14:paraId="19E45F60">
            <w:pPr>
              <w:pStyle w:val="47"/>
              <w:spacing w:line="360" w:lineRule="auto"/>
              <w:jc w:val="center"/>
              <w:rPr>
                <w:rFonts w:cs="Times New Roman"/>
                <w:color w:val="auto"/>
                <w:sz w:val="24"/>
                <w:szCs w:val="24"/>
                <w:highlight w:val="none"/>
              </w:rPr>
            </w:pPr>
            <w:r>
              <w:rPr>
                <w:rFonts w:hint="eastAsia"/>
                <w:color w:val="auto"/>
                <w:sz w:val="24"/>
                <w:szCs w:val="24"/>
                <w:highlight w:val="none"/>
              </w:rPr>
              <w:t>执业或职业</w:t>
            </w:r>
          </w:p>
          <w:p w14:paraId="2652C1F4">
            <w:pPr>
              <w:pStyle w:val="47"/>
              <w:spacing w:line="360" w:lineRule="auto"/>
              <w:jc w:val="center"/>
              <w:rPr>
                <w:rFonts w:cs="Times New Roman"/>
                <w:color w:val="auto"/>
                <w:sz w:val="24"/>
                <w:szCs w:val="24"/>
                <w:highlight w:val="none"/>
              </w:rPr>
            </w:pPr>
            <w:r>
              <w:rPr>
                <w:rFonts w:hint="eastAsia"/>
                <w:color w:val="auto"/>
                <w:sz w:val="24"/>
                <w:szCs w:val="24"/>
                <w:highlight w:val="none"/>
              </w:rPr>
              <w:t>资格证书名称</w:t>
            </w:r>
          </w:p>
        </w:tc>
        <w:tc>
          <w:tcPr>
            <w:tcW w:w="2678" w:type="dxa"/>
            <w:vAlign w:val="center"/>
          </w:tcPr>
          <w:p w14:paraId="202957AD">
            <w:pPr>
              <w:spacing w:line="360" w:lineRule="auto"/>
              <w:jc w:val="center"/>
              <w:rPr>
                <w:rFonts w:ascii="宋体" w:cs="Times New Roman"/>
                <w:color w:val="auto"/>
                <w:sz w:val="24"/>
                <w:szCs w:val="24"/>
                <w:highlight w:val="none"/>
              </w:rPr>
            </w:pPr>
          </w:p>
        </w:tc>
      </w:tr>
      <w:tr w14:paraId="5321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exact"/>
          <w:jc w:val="center"/>
        </w:trPr>
        <w:tc>
          <w:tcPr>
            <w:tcW w:w="1319" w:type="dxa"/>
            <w:vAlign w:val="center"/>
          </w:tcPr>
          <w:p w14:paraId="789D4E0C">
            <w:pPr>
              <w:pStyle w:val="47"/>
              <w:spacing w:line="360" w:lineRule="auto"/>
              <w:jc w:val="center"/>
              <w:rPr>
                <w:rFonts w:cs="Times New Roman"/>
                <w:color w:val="auto"/>
                <w:sz w:val="24"/>
                <w:szCs w:val="24"/>
                <w:highlight w:val="none"/>
              </w:rPr>
            </w:pPr>
            <w:r>
              <w:rPr>
                <w:rFonts w:hint="eastAsia"/>
                <w:color w:val="auto"/>
                <w:sz w:val="24"/>
                <w:szCs w:val="24"/>
                <w:highlight w:val="none"/>
              </w:rPr>
              <w:t>职称</w:t>
            </w:r>
          </w:p>
        </w:tc>
        <w:tc>
          <w:tcPr>
            <w:tcW w:w="1145" w:type="dxa"/>
            <w:gridSpan w:val="2"/>
            <w:vAlign w:val="center"/>
          </w:tcPr>
          <w:p w14:paraId="451ED259">
            <w:pPr>
              <w:spacing w:line="360" w:lineRule="auto"/>
              <w:jc w:val="center"/>
              <w:rPr>
                <w:rFonts w:ascii="宋体" w:cs="Times New Roman"/>
                <w:color w:val="auto"/>
                <w:sz w:val="24"/>
                <w:szCs w:val="24"/>
                <w:highlight w:val="none"/>
              </w:rPr>
            </w:pPr>
          </w:p>
        </w:tc>
        <w:tc>
          <w:tcPr>
            <w:tcW w:w="1036" w:type="dxa"/>
            <w:vAlign w:val="center"/>
          </w:tcPr>
          <w:p w14:paraId="22A78876">
            <w:pPr>
              <w:pStyle w:val="47"/>
              <w:spacing w:line="360" w:lineRule="auto"/>
              <w:jc w:val="center"/>
              <w:rPr>
                <w:rFonts w:cs="Times New Roman"/>
                <w:color w:val="auto"/>
                <w:sz w:val="24"/>
                <w:szCs w:val="24"/>
                <w:highlight w:val="none"/>
              </w:rPr>
            </w:pPr>
            <w:r>
              <w:rPr>
                <w:rFonts w:hint="eastAsia"/>
                <w:color w:val="auto"/>
                <w:sz w:val="24"/>
                <w:szCs w:val="24"/>
                <w:highlight w:val="none"/>
              </w:rPr>
              <w:t>学历</w:t>
            </w:r>
          </w:p>
        </w:tc>
        <w:tc>
          <w:tcPr>
            <w:tcW w:w="1151" w:type="dxa"/>
            <w:vAlign w:val="center"/>
          </w:tcPr>
          <w:p w14:paraId="00083C70">
            <w:pPr>
              <w:spacing w:line="360" w:lineRule="auto"/>
              <w:jc w:val="center"/>
              <w:rPr>
                <w:rFonts w:ascii="宋体" w:cs="Times New Roman"/>
                <w:color w:val="auto"/>
                <w:sz w:val="24"/>
                <w:szCs w:val="24"/>
                <w:highlight w:val="none"/>
              </w:rPr>
            </w:pPr>
          </w:p>
        </w:tc>
        <w:tc>
          <w:tcPr>
            <w:tcW w:w="2569" w:type="dxa"/>
            <w:gridSpan w:val="3"/>
            <w:vAlign w:val="center"/>
          </w:tcPr>
          <w:p w14:paraId="1B0BF91B">
            <w:pPr>
              <w:pStyle w:val="47"/>
              <w:spacing w:line="360" w:lineRule="auto"/>
              <w:jc w:val="center"/>
              <w:rPr>
                <w:rFonts w:cs="Times New Roman"/>
                <w:color w:val="auto"/>
                <w:sz w:val="24"/>
                <w:szCs w:val="24"/>
                <w:highlight w:val="none"/>
              </w:rPr>
            </w:pPr>
            <w:r>
              <w:rPr>
                <w:rFonts w:hint="eastAsia"/>
                <w:color w:val="auto"/>
                <w:sz w:val="24"/>
                <w:szCs w:val="24"/>
                <w:highlight w:val="none"/>
              </w:rPr>
              <w:t>拟在本项目任职</w:t>
            </w:r>
          </w:p>
        </w:tc>
        <w:tc>
          <w:tcPr>
            <w:tcW w:w="2678" w:type="dxa"/>
            <w:vAlign w:val="center"/>
          </w:tcPr>
          <w:p w14:paraId="44E7BC1A">
            <w:pPr>
              <w:spacing w:line="360" w:lineRule="auto"/>
              <w:jc w:val="center"/>
              <w:rPr>
                <w:rFonts w:ascii="宋体" w:cs="Times New Roman"/>
                <w:color w:val="auto"/>
                <w:sz w:val="24"/>
                <w:szCs w:val="24"/>
                <w:highlight w:val="none"/>
              </w:rPr>
            </w:pPr>
          </w:p>
        </w:tc>
      </w:tr>
      <w:tr w14:paraId="5BDF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0" w:hRule="exact"/>
          <w:jc w:val="center"/>
        </w:trPr>
        <w:tc>
          <w:tcPr>
            <w:tcW w:w="1319" w:type="dxa"/>
            <w:vAlign w:val="center"/>
          </w:tcPr>
          <w:p w14:paraId="5252442D">
            <w:pPr>
              <w:pStyle w:val="47"/>
              <w:spacing w:line="360" w:lineRule="auto"/>
              <w:jc w:val="center"/>
              <w:rPr>
                <w:rFonts w:cs="Times New Roman"/>
                <w:color w:val="auto"/>
                <w:sz w:val="24"/>
                <w:szCs w:val="24"/>
                <w:highlight w:val="none"/>
              </w:rPr>
            </w:pPr>
            <w:r>
              <w:rPr>
                <w:rFonts w:hint="eastAsia"/>
                <w:color w:val="auto"/>
                <w:sz w:val="24"/>
                <w:szCs w:val="24"/>
                <w:highlight w:val="none"/>
              </w:rPr>
              <w:t>工作年限</w:t>
            </w:r>
          </w:p>
        </w:tc>
        <w:tc>
          <w:tcPr>
            <w:tcW w:w="3332" w:type="dxa"/>
            <w:gridSpan w:val="4"/>
            <w:vAlign w:val="center"/>
          </w:tcPr>
          <w:p w14:paraId="6294C5BE">
            <w:pPr>
              <w:spacing w:line="360" w:lineRule="auto"/>
              <w:jc w:val="center"/>
              <w:rPr>
                <w:rFonts w:ascii="宋体" w:cs="Times New Roman"/>
                <w:color w:val="auto"/>
                <w:sz w:val="24"/>
                <w:szCs w:val="24"/>
                <w:highlight w:val="none"/>
              </w:rPr>
            </w:pPr>
          </w:p>
        </w:tc>
        <w:tc>
          <w:tcPr>
            <w:tcW w:w="2569" w:type="dxa"/>
            <w:gridSpan w:val="3"/>
            <w:vAlign w:val="center"/>
          </w:tcPr>
          <w:p w14:paraId="183993D8">
            <w:pPr>
              <w:pStyle w:val="47"/>
              <w:spacing w:line="360" w:lineRule="auto"/>
              <w:jc w:val="center"/>
              <w:rPr>
                <w:rFonts w:cs="Times New Roman"/>
                <w:color w:val="auto"/>
                <w:sz w:val="24"/>
                <w:szCs w:val="24"/>
                <w:highlight w:val="none"/>
              </w:rPr>
            </w:pPr>
            <w:r>
              <w:rPr>
                <w:rFonts w:hint="eastAsia"/>
                <w:color w:val="auto"/>
                <w:sz w:val="24"/>
                <w:szCs w:val="24"/>
                <w:highlight w:val="none"/>
              </w:rPr>
              <w:t>从事类似工作年限</w:t>
            </w:r>
          </w:p>
        </w:tc>
        <w:tc>
          <w:tcPr>
            <w:tcW w:w="2678" w:type="dxa"/>
            <w:vAlign w:val="center"/>
          </w:tcPr>
          <w:p w14:paraId="111284EA">
            <w:pPr>
              <w:spacing w:line="360" w:lineRule="auto"/>
              <w:jc w:val="center"/>
              <w:rPr>
                <w:rFonts w:ascii="宋体" w:cs="Times New Roman"/>
                <w:color w:val="auto"/>
                <w:sz w:val="24"/>
                <w:szCs w:val="24"/>
                <w:highlight w:val="none"/>
              </w:rPr>
            </w:pPr>
          </w:p>
        </w:tc>
      </w:tr>
      <w:tr w14:paraId="6858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exact"/>
          <w:jc w:val="center"/>
        </w:trPr>
        <w:tc>
          <w:tcPr>
            <w:tcW w:w="1319" w:type="dxa"/>
            <w:vAlign w:val="center"/>
          </w:tcPr>
          <w:p w14:paraId="6A8BDE64">
            <w:pPr>
              <w:pStyle w:val="47"/>
              <w:spacing w:line="360" w:lineRule="auto"/>
              <w:jc w:val="center"/>
              <w:rPr>
                <w:rFonts w:cs="Times New Roman"/>
                <w:color w:val="auto"/>
                <w:sz w:val="24"/>
                <w:szCs w:val="24"/>
                <w:highlight w:val="none"/>
              </w:rPr>
            </w:pPr>
            <w:r>
              <w:rPr>
                <w:rFonts w:hint="eastAsia"/>
                <w:color w:val="auto"/>
                <w:sz w:val="24"/>
                <w:szCs w:val="24"/>
                <w:highlight w:val="none"/>
              </w:rPr>
              <w:t>毕业学校</w:t>
            </w:r>
          </w:p>
        </w:tc>
        <w:tc>
          <w:tcPr>
            <w:tcW w:w="8579" w:type="dxa"/>
            <w:gridSpan w:val="8"/>
            <w:vAlign w:val="center"/>
          </w:tcPr>
          <w:p w14:paraId="1BE6F90E">
            <w:pPr>
              <w:pStyle w:val="47"/>
              <w:tabs>
                <w:tab w:val="left" w:pos="2021"/>
                <w:tab w:val="left" w:pos="3346"/>
              </w:tabs>
              <w:spacing w:line="360" w:lineRule="auto"/>
              <w:jc w:val="center"/>
              <w:rPr>
                <w:rFonts w:cs="Times New Roman"/>
                <w:color w:val="auto"/>
                <w:sz w:val="24"/>
                <w:szCs w:val="24"/>
                <w:highlight w:val="none"/>
              </w:rPr>
            </w:pPr>
            <w:r>
              <w:rPr>
                <w:rFonts w:hint="eastAsia"/>
                <w:color w:val="auto"/>
                <w:sz w:val="24"/>
                <w:szCs w:val="24"/>
                <w:highlight w:val="none"/>
              </w:rPr>
              <w:t>年毕业于</w:t>
            </w:r>
            <w:r>
              <w:rPr>
                <w:rFonts w:cs="Times New Roman"/>
                <w:color w:val="auto"/>
                <w:sz w:val="24"/>
                <w:szCs w:val="24"/>
                <w:highlight w:val="none"/>
              </w:rPr>
              <w:tab/>
            </w:r>
            <w:r>
              <w:rPr>
                <w:rFonts w:hint="eastAsia"/>
                <w:color w:val="auto"/>
                <w:sz w:val="24"/>
                <w:szCs w:val="24"/>
                <w:highlight w:val="none"/>
              </w:rPr>
              <w:t>学校</w:t>
            </w:r>
            <w:r>
              <w:rPr>
                <w:rFonts w:cs="Times New Roman"/>
                <w:color w:val="auto"/>
                <w:sz w:val="24"/>
                <w:szCs w:val="24"/>
                <w:highlight w:val="none"/>
              </w:rPr>
              <w:tab/>
            </w:r>
            <w:r>
              <w:rPr>
                <w:rFonts w:hint="eastAsia"/>
                <w:color w:val="auto"/>
                <w:sz w:val="24"/>
                <w:szCs w:val="24"/>
                <w:highlight w:val="none"/>
              </w:rPr>
              <w:t>专业</w:t>
            </w:r>
          </w:p>
        </w:tc>
      </w:tr>
      <w:tr w14:paraId="07E9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exact"/>
          <w:jc w:val="center"/>
        </w:trPr>
        <w:tc>
          <w:tcPr>
            <w:tcW w:w="9898" w:type="dxa"/>
            <w:gridSpan w:val="9"/>
            <w:vAlign w:val="center"/>
          </w:tcPr>
          <w:p w14:paraId="6B005EE6">
            <w:pPr>
              <w:pStyle w:val="47"/>
              <w:spacing w:line="360" w:lineRule="auto"/>
              <w:ind w:firstLine="240" w:firstLineChars="100"/>
              <w:rPr>
                <w:rFonts w:cs="Times New Roman"/>
                <w:color w:val="auto"/>
                <w:sz w:val="24"/>
                <w:szCs w:val="24"/>
                <w:highlight w:val="none"/>
              </w:rPr>
            </w:pPr>
            <w:r>
              <w:rPr>
                <w:rFonts w:hint="eastAsia"/>
                <w:color w:val="auto"/>
                <w:sz w:val="24"/>
                <w:szCs w:val="24"/>
                <w:highlight w:val="none"/>
              </w:rPr>
              <w:t>主要工作经历</w:t>
            </w:r>
          </w:p>
        </w:tc>
      </w:tr>
      <w:tr w14:paraId="24B6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exact"/>
          <w:jc w:val="center"/>
        </w:trPr>
        <w:tc>
          <w:tcPr>
            <w:tcW w:w="1683" w:type="dxa"/>
            <w:gridSpan w:val="2"/>
            <w:vAlign w:val="center"/>
          </w:tcPr>
          <w:p w14:paraId="1B3BB7C7">
            <w:pPr>
              <w:pStyle w:val="47"/>
              <w:spacing w:line="360" w:lineRule="auto"/>
              <w:jc w:val="center"/>
              <w:rPr>
                <w:rFonts w:cs="Times New Roman"/>
                <w:color w:val="auto"/>
                <w:sz w:val="24"/>
                <w:szCs w:val="24"/>
                <w:highlight w:val="none"/>
              </w:rPr>
            </w:pPr>
            <w:r>
              <w:rPr>
                <w:rFonts w:hint="eastAsia"/>
                <w:color w:val="auto"/>
                <w:sz w:val="24"/>
                <w:szCs w:val="24"/>
                <w:highlight w:val="none"/>
              </w:rPr>
              <w:t>时间</w:t>
            </w:r>
          </w:p>
        </w:tc>
        <w:tc>
          <w:tcPr>
            <w:tcW w:w="3710" w:type="dxa"/>
            <w:gridSpan w:val="4"/>
            <w:vAlign w:val="center"/>
          </w:tcPr>
          <w:p w14:paraId="5258001A">
            <w:pPr>
              <w:pStyle w:val="47"/>
              <w:spacing w:line="360" w:lineRule="auto"/>
              <w:jc w:val="center"/>
              <w:rPr>
                <w:rFonts w:cs="Times New Roman"/>
                <w:color w:val="auto"/>
                <w:sz w:val="24"/>
                <w:szCs w:val="24"/>
                <w:highlight w:val="none"/>
              </w:rPr>
            </w:pPr>
            <w:r>
              <w:rPr>
                <w:rFonts w:hint="eastAsia"/>
                <w:color w:val="auto"/>
                <w:sz w:val="24"/>
                <w:szCs w:val="24"/>
                <w:highlight w:val="none"/>
              </w:rPr>
              <w:t>参加过的类似项目</w:t>
            </w:r>
          </w:p>
        </w:tc>
        <w:tc>
          <w:tcPr>
            <w:tcW w:w="1364" w:type="dxa"/>
            <w:vAlign w:val="center"/>
          </w:tcPr>
          <w:p w14:paraId="54777537">
            <w:pPr>
              <w:pStyle w:val="47"/>
              <w:spacing w:line="360" w:lineRule="auto"/>
              <w:jc w:val="center"/>
              <w:rPr>
                <w:rFonts w:cs="Times New Roman"/>
                <w:color w:val="auto"/>
                <w:sz w:val="24"/>
                <w:szCs w:val="24"/>
                <w:highlight w:val="none"/>
              </w:rPr>
            </w:pPr>
            <w:r>
              <w:rPr>
                <w:rFonts w:hint="eastAsia"/>
                <w:color w:val="auto"/>
                <w:sz w:val="24"/>
                <w:szCs w:val="24"/>
                <w:highlight w:val="none"/>
              </w:rPr>
              <w:t>担任职务</w:t>
            </w:r>
          </w:p>
        </w:tc>
        <w:tc>
          <w:tcPr>
            <w:tcW w:w="3141" w:type="dxa"/>
            <w:gridSpan w:val="2"/>
            <w:vAlign w:val="center"/>
          </w:tcPr>
          <w:p w14:paraId="28DB83C9">
            <w:pPr>
              <w:pStyle w:val="47"/>
              <w:spacing w:line="360" w:lineRule="auto"/>
              <w:jc w:val="center"/>
              <w:rPr>
                <w:rFonts w:cs="Times New Roman"/>
                <w:color w:val="auto"/>
                <w:sz w:val="24"/>
                <w:szCs w:val="24"/>
                <w:highlight w:val="none"/>
              </w:rPr>
            </w:pPr>
            <w:r>
              <w:rPr>
                <w:rFonts w:hint="eastAsia"/>
                <w:color w:val="auto"/>
                <w:sz w:val="24"/>
                <w:szCs w:val="24"/>
                <w:highlight w:val="none"/>
              </w:rPr>
              <w:t>委托人</w:t>
            </w:r>
            <w:r>
              <w:rPr>
                <w:color w:val="auto"/>
                <w:sz w:val="24"/>
                <w:szCs w:val="24"/>
                <w:highlight w:val="none"/>
              </w:rPr>
              <w:t>/</w:t>
            </w:r>
            <w:r>
              <w:rPr>
                <w:rFonts w:hint="eastAsia"/>
                <w:color w:val="auto"/>
                <w:sz w:val="24"/>
                <w:szCs w:val="24"/>
                <w:highlight w:val="none"/>
              </w:rPr>
              <w:t>发包人及</w:t>
            </w:r>
          </w:p>
          <w:p w14:paraId="7D0E67F9">
            <w:pPr>
              <w:pStyle w:val="47"/>
              <w:spacing w:line="360" w:lineRule="auto"/>
              <w:jc w:val="center"/>
              <w:rPr>
                <w:rFonts w:cs="Times New Roman"/>
                <w:color w:val="auto"/>
                <w:sz w:val="24"/>
                <w:szCs w:val="24"/>
                <w:highlight w:val="none"/>
              </w:rPr>
            </w:pPr>
            <w:r>
              <w:rPr>
                <w:rFonts w:hint="eastAsia"/>
                <w:color w:val="auto"/>
                <w:sz w:val="24"/>
                <w:szCs w:val="24"/>
                <w:highlight w:val="none"/>
              </w:rPr>
              <w:t>联系电话</w:t>
            </w:r>
          </w:p>
        </w:tc>
      </w:tr>
      <w:tr w14:paraId="5F05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exact"/>
          <w:jc w:val="center"/>
        </w:trPr>
        <w:tc>
          <w:tcPr>
            <w:tcW w:w="1683" w:type="dxa"/>
            <w:gridSpan w:val="2"/>
            <w:vAlign w:val="center"/>
          </w:tcPr>
          <w:p w14:paraId="376E05BA">
            <w:pPr>
              <w:spacing w:line="360" w:lineRule="auto"/>
              <w:jc w:val="center"/>
              <w:rPr>
                <w:rFonts w:ascii="宋体" w:cs="Times New Roman"/>
                <w:color w:val="auto"/>
                <w:sz w:val="24"/>
                <w:szCs w:val="24"/>
                <w:highlight w:val="none"/>
              </w:rPr>
            </w:pPr>
          </w:p>
        </w:tc>
        <w:tc>
          <w:tcPr>
            <w:tcW w:w="3710" w:type="dxa"/>
            <w:gridSpan w:val="4"/>
            <w:vAlign w:val="center"/>
          </w:tcPr>
          <w:p w14:paraId="05D62CC9">
            <w:pPr>
              <w:spacing w:line="360" w:lineRule="auto"/>
              <w:jc w:val="center"/>
              <w:rPr>
                <w:rFonts w:ascii="宋体" w:cs="Times New Roman"/>
                <w:color w:val="auto"/>
                <w:sz w:val="24"/>
                <w:szCs w:val="24"/>
                <w:highlight w:val="none"/>
              </w:rPr>
            </w:pPr>
          </w:p>
        </w:tc>
        <w:tc>
          <w:tcPr>
            <w:tcW w:w="1364" w:type="dxa"/>
            <w:vAlign w:val="center"/>
          </w:tcPr>
          <w:p w14:paraId="48E6167D">
            <w:pPr>
              <w:spacing w:line="360" w:lineRule="auto"/>
              <w:jc w:val="center"/>
              <w:rPr>
                <w:rFonts w:ascii="宋体" w:cs="Times New Roman"/>
                <w:color w:val="auto"/>
                <w:sz w:val="24"/>
                <w:szCs w:val="24"/>
                <w:highlight w:val="none"/>
              </w:rPr>
            </w:pPr>
          </w:p>
        </w:tc>
        <w:tc>
          <w:tcPr>
            <w:tcW w:w="3141" w:type="dxa"/>
            <w:gridSpan w:val="2"/>
            <w:vAlign w:val="center"/>
          </w:tcPr>
          <w:p w14:paraId="0B105E3C">
            <w:pPr>
              <w:spacing w:line="360" w:lineRule="auto"/>
              <w:jc w:val="center"/>
              <w:rPr>
                <w:rFonts w:ascii="宋体" w:cs="Times New Roman"/>
                <w:color w:val="auto"/>
                <w:sz w:val="24"/>
                <w:szCs w:val="24"/>
                <w:highlight w:val="none"/>
              </w:rPr>
            </w:pPr>
          </w:p>
        </w:tc>
      </w:tr>
      <w:tr w14:paraId="0F1F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2" w:hRule="exact"/>
          <w:jc w:val="center"/>
        </w:trPr>
        <w:tc>
          <w:tcPr>
            <w:tcW w:w="1683" w:type="dxa"/>
            <w:gridSpan w:val="2"/>
            <w:vAlign w:val="center"/>
          </w:tcPr>
          <w:p w14:paraId="6378263D">
            <w:pPr>
              <w:spacing w:line="360" w:lineRule="auto"/>
              <w:jc w:val="center"/>
              <w:rPr>
                <w:rFonts w:ascii="宋体" w:cs="Times New Roman"/>
                <w:color w:val="auto"/>
                <w:sz w:val="24"/>
                <w:szCs w:val="24"/>
                <w:highlight w:val="none"/>
              </w:rPr>
            </w:pPr>
          </w:p>
        </w:tc>
        <w:tc>
          <w:tcPr>
            <w:tcW w:w="3710" w:type="dxa"/>
            <w:gridSpan w:val="4"/>
            <w:vAlign w:val="center"/>
          </w:tcPr>
          <w:p w14:paraId="190DA2A5">
            <w:pPr>
              <w:spacing w:line="360" w:lineRule="auto"/>
              <w:jc w:val="center"/>
              <w:rPr>
                <w:rFonts w:ascii="宋体" w:cs="Times New Roman"/>
                <w:color w:val="auto"/>
                <w:sz w:val="24"/>
                <w:szCs w:val="24"/>
                <w:highlight w:val="none"/>
              </w:rPr>
            </w:pPr>
          </w:p>
        </w:tc>
        <w:tc>
          <w:tcPr>
            <w:tcW w:w="1364" w:type="dxa"/>
            <w:vAlign w:val="center"/>
          </w:tcPr>
          <w:p w14:paraId="74B77A49">
            <w:pPr>
              <w:spacing w:line="360" w:lineRule="auto"/>
              <w:jc w:val="center"/>
              <w:rPr>
                <w:rFonts w:ascii="宋体" w:cs="Times New Roman"/>
                <w:color w:val="auto"/>
                <w:sz w:val="24"/>
                <w:szCs w:val="24"/>
                <w:highlight w:val="none"/>
              </w:rPr>
            </w:pPr>
          </w:p>
        </w:tc>
        <w:tc>
          <w:tcPr>
            <w:tcW w:w="3141" w:type="dxa"/>
            <w:gridSpan w:val="2"/>
            <w:vAlign w:val="center"/>
          </w:tcPr>
          <w:p w14:paraId="4C9EE412">
            <w:pPr>
              <w:spacing w:line="360" w:lineRule="auto"/>
              <w:jc w:val="center"/>
              <w:rPr>
                <w:rFonts w:ascii="宋体" w:cs="Times New Roman"/>
                <w:color w:val="auto"/>
                <w:sz w:val="24"/>
                <w:szCs w:val="24"/>
                <w:highlight w:val="none"/>
              </w:rPr>
            </w:pPr>
          </w:p>
        </w:tc>
      </w:tr>
      <w:tr w14:paraId="5B19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exact"/>
          <w:jc w:val="center"/>
        </w:trPr>
        <w:tc>
          <w:tcPr>
            <w:tcW w:w="1683" w:type="dxa"/>
            <w:gridSpan w:val="2"/>
            <w:vAlign w:val="center"/>
          </w:tcPr>
          <w:p w14:paraId="747F6394">
            <w:pPr>
              <w:spacing w:line="360" w:lineRule="auto"/>
              <w:jc w:val="center"/>
              <w:rPr>
                <w:rFonts w:ascii="宋体" w:cs="Times New Roman"/>
                <w:color w:val="auto"/>
                <w:sz w:val="24"/>
                <w:szCs w:val="24"/>
                <w:highlight w:val="none"/>
              </w:rPr>
            </w:pPr>
          </w:p>
        </w:tc>
        <w:tc>
          <w:tcPr>
            <w:tcW w:w="3710" w:type="dxa"/>
            <w:gridSpan w:val="4"/>
            <w:vAlign w:val="center"/>
          </w:tcPr>
          <w:p w14:paraId="230C4615">
            <w:pPr>
              <w:spacing w:line="360" w:lineRule="auto"/>
              <w:jc w:val="center"/>
              <w:rPr>
                <w:rFonts w:ascii="宋体" w:cs="Times New Roman"/>
                <w:color w:val="auto"/>
                <w:sz w:val="24"/>
                <w:szCs w:val="24"/>
                <w:highlight w:val="none"/>
              </w:rPr>
            </w:pPr>
          </w:p>
        </w:tc>
        <w:tc>
          <w:tcPr>
            <w:tcW w:w="1364" w:type="dxa"/>
            <w:vAlign w:val="center"/>
          </w:tcPr>
          <w:p w14:paraId="281D0B32">
            <w:pPr>
              <w:spacing w:line="360" w:lineRule="auto"/>
              <w:jc w:val="center"/>
              <w:rPr>
                <w:rFonts w:ascii="宋体" w:cs="Times New Roman"/>
                <w:color w:val="auto"/>
                <w:sz w:val="24"/>
                <w:szCs w:val="24"/>
                <w:highlight w:val="none"/>
              </w:rPr>
            </w:pPr>
          </w:p>
        </w:tc>
        <w:tc>
          <w:tcPr>
            <w:tcW w:w="3141" w:type="dxa"/>
            <w:gridSpan w:val="2"/>
            <w:vAlign w:val="center"/>
          </w:tcPr>
          <w:p w14:paraId="629CF6B2">
            <w:pPr>
              <w:spacing w:line="360" w:lineRule="auto"/>
              <w:jc w:val="center"/>
              <w:rPr>
                <w:rFonts w:ascii="宋体" w:cs="Times New Roman"/>
                <w:color w:val="auto"/>
                <w:sz w:val="24"/>
                <w:szCs w:val="24"/>
                <w:highlight w:val="none"/>
              </w:rPr>
            </w:pPr>
          </w:p>
        </w:tc>
      </w:tr>
      <w:tr w14:paraId="465E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exact"/>
          <w:jc w:val="center"/>
        </w:trPr>
        <w:tc>
          <w:tcPr>
            <w:tcW w:w="1683" w:type="dxa"/>
            <w:gridSpan w:val="2"/>
            <w:vAlign w:val="center"/>
          </w:tcPr>
          <w:p w14:paraId="45BE0FCF">
            <w:pPr>
              <w:spacing w:line="360" w:lineRule="auto"/>
              <w:jc w:val="center"/>
              <w:rPr>
                <w:rFonts w:ascii="宋体" w:cs="Times New Roman"/>
                <w:color w:val="auto"/>
                <w:sz w:val="24"/>
                <w:szCs w:val="24"/>
                <w:highlight w:val="none"/>
              </w:rPr>
            </w:pPr>
          </w:p>
        </w:tc>
        <w:tc>
          <w:tcPr>
            <w:tcW w:w="3710" w:type="dxa"/>
            <w:gridSpan w:val="4"/>
            <w:vAlign w:val="center"/>
          </w:tcPr>
          <w:p w14:paraId="2A116551">
            <w:pPr>
              <w:spacing w:line="360" w:lineRule="auto"/>
              <w:jc w:val="center"/>
              <w:rPr>
                <w:rFonts w:ascii="宋体" w:cs="Times New Roman"/>
                <w:color w:val="auto"/>
                <w:sz w:val="24"/>
                <w:szCs w:val="24"/>
                <w:highlight w:val="none"/>
              </w:rPr>
            </w:pPr>
          </w:p>
        </w:tc>
        <w:tc>
          <w:tcPr>
            <w:tcW w:w="1364" w:type="dxa"/>
            <w:vAlign w:val="center"/>
          </w:tcPr>
          <w:p w14:paraId="75D1E31D">
            <w:pPr>
              <w:spacing w:line="360" w:lineRule="auto"/>
              <w:jc w:val="center"/>
              <w:rPr>
                <w:rFonts w:ascii="宋体" w:cs="Times New Roman"/>
                <w:color w:val="auto"/>
                <w:sz w:val="24"/>
                <w:szCs w:val="24"/>
                <w:highlight w:val="none"/>
              </w:rPr>
            </w:pPr>
          </w:p>
        </w:tc>
        <w:tc>
          <w:tcPr>
            <w:tcW w:w="3141" w:type="dxa"/>
            <w:gridSpan w:val="2"/>
            <w:vAlign w:val="center"/>
          </w:tcPr>
          <w:p w14:paraId="489BDC0A">
            <w:pPr>
              <w:spacing w:line="360" w:lineRule="auto"/>
              <w:jc w:val="center"/>
              <w:rPr>
                <w:rFonts w:ascii="宋体" w:cs="Times New Roman"/>
                <w:color w:val="auto"/>
                <w:sz w:val="24"/>
                <w:szCs w:val="24"/>
                <w:highlight w:val="none"/>
              </w:rPr>
            </w:pPr>
          </w:p>
        </w:tc>
      </w:tr>
      <w:tr w14:paraId="38F9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exact"/>
          <w:jc w:val="center"/>
        </w:trPr>
        <w:tc>
          <w:tcPr>
            <w:tcW w:w="1683" w:type="dxa"/>
            <w:gridSpan w:val="2"/>
            <w:vAlign w:val="center"/>
          </w:tcPr>
          <w:p w14:paraId="7F94D131">
            <w:pPr>
              <w:spacing w:line="360" w:lineRule="auto"/>
              <w:jc w:val="center"/>
              <w:rPr>
                <w:rFonts w:ascii="宋体" w:cs="Times New Roman"/>
                <w:color w:val="auto"/>
                <w:sz w:val="24"/>
                <w:szCs w:val="24"/>
                <w:highlight w:val="none"/>
              </w:rPr>
            </w:pPr>
          </w:p>
        </w:tc>
        <w:tc>
          <w:tcPr>
            <w:tcW w:w="3710" w:type="dxa"/>
            <w:gridSpan w:val="4"/>
            <w:vAlign w:val="center"/>
          </w:tcPr>
          <w:p w14:paraId="64704A8A">
            <w:pPr>
              <w:spacing w:line="360" w:lineRule="auto"/>
              <w:jc w:val="center"/>
              <w:rPr>
                <w:rFonts w:ascii="宋体" w:cs="Times New Roman"/>
                <w:color w:val="auto"/>
                <w:sz w:val="24"/>
                <w:szCs w:val="24"/>
                <w:highlight w:val="none"/>
              </w:rPr>
            </w:pPr>
          </w:p>
        </w:tc>
        <w:tc>
          <w:tcPr>
            <w:tcW w:w="1364" w:type="dxa"/>
            <w:vAlign w:val="center"/>
          </w:tcPr>
          <w:p w14:paraId="0C7F6576">
            <w:pPr>
              <w:spacing w:line="360" w:lineRule="auto"/>
              <w:jc w:val="center"/>
              <w:rPr>
                <w:rFonts w:ascii="宋体" w:cs="Times New Roman"/>
                <w:color w:val="auto"/>
                <w:sz w:val="24"/>
                <w:szCs w:val="24"/>
                <w:highlight w:val="none"/>
              </w:rPr>
            </w:pPr>
          </w:p>
        </w:tc>
        <w:tc>
          <w:tcPr>
            <w:tcW w:w="3141" w:type="dxa"/>
            <w:gridSpan w:val="2"/>
            <w:vAlign w:val="center"/>
          </w:tcPr>
          <w:p w14:paraId="2F337ECA">
            <w:pPr>
              <w:spacing w:line="360" w:lineRule="auto"/>
              <w:jc w:val="center"/>
              <w:rPr>
                <w:rFonts w:ascii="宋体" w:cs="Times New Roman"/>
                <w:color w:val="auto"/>
                <w:sz w:val="24"/>
                <w:szCs w:val="24"/>
                <w:highlight w:val="none"/>
              </w:rPr>
            </w:pPr>
          </w:p>
        </w:tc>
      </w:tr>
      <w:tr w14:paraId="15B9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exact"/>
          <w:jc w:val="center"/>
        </w:trPr>
        <w:tc>
          <w:tcPr>
            <w:tcW w:w="1683" w:type="dxa"/>
            <w:gridSpan w:val="2"/>
            <w:vAlign w:val="center"/>
          </w:tcPr>
          <w:p w14:paraId="06824858">
            <w:pPr>
              <w:spacing w:line="360" w:lineRule="auto"/>
              <w:jc w:val="center"/>
              <w:rPr>
                <w:rFonts w:ascii="宋体" w:cs="Times New Roman"/>
                <w:color w:val="auto"/>
                <w:sz w:val="24"/>
                <w:szCs w:val="24"/>
                <w:highlight w:val="none"/>
              </w:rPr>
            </w:pPr>
          </w:p>
        </w:tc>
        <w:tc>
          <w:tcPr>
            <w:tcW w:w="3710" w:type="dxa"/>
            <w:gridSpan w:val="4"/>
            <w:vAlign w:val="center"/>
          </w:tcPr>
          <w:p w14:paraId="748CD85F">
            <w:pPr>
              <w:spacing w:line="360" w:lineRule="auto"/>
              <w:jc w:val="center"/>
              <w:rPr>
                <w:rFonts w:ascii="宋体" w:cs="Times New Roman"/>
                <w:color w:val="auto"/>
                <w:sz w:val="24"/>
                <w:szCs w:val="24"/>
                <w:highlight w:val="none"/>
              </w:rPr>
            </w:pPr>
          </w:p>
        </w:tc>
        <w:tc>
          <w:tcPr>
            <w:tcW w:w="1364" w:type="dxa"/>
            <w:vAlign w:val="center"/>
          </w:tcPr>
          <w:p w14:paraId="637E08C2">
            <w:pPr>
              <w:spacing w:line="360" w:lineRule="auto"/>
              <w:jc w:val="center"/>
              <w:rPr>
                <w:rFonts w:ascii="宋体" w:cs="Times New Roman"/>
                <w:color w:val="auto"/>
                <w:sz w:val="24"/>
                <w:szCs w:val="24"/>
                <w:highlight w:val="none"/>
              </w:rPr>
            </w:pPr>
          </w:p>
        </w:tc>
        <w:tc>
          <w:tcPr>
            <w:tcW w:w="3141" w:type="dxa"/>
            <w:gridSpan w:val="2"/>
            <w:vAlign w:val="center"/>
          </w:tcPr>
          <w:p w14:paraId="2D40819A">
            <w:pPr>
              <w:spacing w:line="360" w:lineRule="auto"/>
              <w:jc w:val="center"/>
              <w:rPr>
                <w:rFonts w:ascii="宋体" w:cs="Times New Roman"/>
                <w:color w:val="auto"/>
                <w:sz w:val="24"/>
                <w:szCs w:val="24"/>
                <w:highlight w:val="none"/>
              </w:rPr>
            </w:pPr>
          </w:p>
        </w:tc>
      </w:tr>
      <w:tr w14:paraId="6604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1683" w:type="dxa"/>
            <w:gridSpan w:val="2"/>
            <w:vAlign w:val="center"/>
          </w:tcPr>
          <w:p w14:paraId="457F723F">
            <w:pPr>
              <w:spacing w:line="360" w:lineRule="auto"/>
              <w:jc w:val="center"/>
              <w:rPr>
                <w:rFonts w:ascii="宋体" w:cs="Times New Roman"/>
                <w:color w:val="auto"/>
                <w:sz w:val="24"/>
                <w:szCs w:val="24"/>
                <w:highlight w:val="none"/>
              </w:rPr>
            </w:pPr>
          </w:p>
        </w:tc>
        <w:tc>
          <w:tcPr>
            <w:tcW w:w="3710" w:type="dxa"/>
            <w:gridSpan w:val="4"/>
            <w:vAlign w:val="center"/>
          </w:tcPr>
          <w:p w14:paraId="0EF70477">
            <w:pPr>
              <w:spacing w:line="360" w:lineRule="auto"/>
              <w:jc w:val="center"/>
              <w:rPr>
                <w:rFonts w:ascii="宋体" w:cs="Times New Roman"/>
                <w:color w:val="auto"/>
                <w:sz w:val="24"/>
                <w:szCs w:val="24"/>
                <w:highlight w:val="none"/>
              </w:rPr>
            </w:pPr>
          </w:p>
        </w:tc>
        <w:tc>
          <w:tcPr>
            <w:tcW w:w="1364" w:type="dxa"/>
            <w:vAlign w:val="center"/>
          </w:tcPr>
          <w:p w14:paraId="55B34692">
            <w:pPr>
              <w:spacing w:line="360" w:lineRule="auto"/>
              <w:jc w:val="center"/>
              <w:rPr>
                <w:rFonts w:ascii="宋体" w:cs="Times New Roman"/>
                <w:color w:val="auto"/>
                <w:sz w:val="24"/>
                <w:szCs w:val="24"/>
                <w:highlight w:val="none"/>
              </w:rPr>
            </w:pPr>
          </w:p>
        </w:tc>
        <w:tc>
          <w:tcPr>
            <w:tcW w:w="3141" w:type="dxa"/>
            <w:gridSpan w:val="2"/>
            <w:vAlign w:val="center"/>
          </w:tcPr>
          <w:p w14:paraId="48911526">
            <w:pPr>
              <w:spacing w:line="360" w:lineRule="auto"/>
              <w:jc w:val="center"/>
              <w:rPr>
                <w:rFonts w:ascii="宋体" w:cs="Times New Roman"/>
                <w:color w:val="auto"/>
                <w:sz w:val="24"/>
                <w:szCs w:val="24"/>
                <w:highlight w:val="none"/>
              </w:rPr>
            </w:pPr>
          </w:p>
        </w:tc>
      </w:tr>
    </w:tbl>
    <w:p w14:paraId="6A9069C9">
      <w:pPr>
        <w:spacing w:line="360" w:lineRule="auto"/>
        <w:rPr>
          <w:rFonts w:ascii="宋体" w:cs="Times New Roman"/>
          <w:color w:val="auto"/>
          <w:highlight w:val="none"/>
        </w:rPr>
        <w:sectPr>
          <w:type w:val="continuous"/>
          <w:pgSz w:w="11906" w:h="16838"/>
          <w:pgMar w:top="1440" w:right="1080" w:bottom="1440" w:left="1080" w:header="851" w:footer="992" w:gutter="0"/>
          <w:pgBorders w:offsetFrom="page">
            <w:top w:val="single" w:color="000000" w:sz="12" w:space="24"/>
            <w:left w:val="single" w:color="000000" w:sz="12" w:space="24"/>
            <w:bottom w:val="single" w:color="000000" w:sz="12" w:space="24"/>
            <w:right w:val="single" w:color="000000" w:sz="12" w:space="24"/>
          </w:pgBorders>
          <w:cols w:space="0" w:num="1"/>
          <w:docGrid w:type="lines" w:linePitch="319" w:charSpace="0"/>
        </w:sectPr>
      </w:pPr>
      <w:r>
        <w:rPr>
          <w:rFonts w:hint="eastAsia" w:ascii="宋体" w:hAnsi="宋体" w:cs="宋体"/>
          <w:color w:val="auto"/>
          <w:highlight w:val="none"/>
        </w:rPr>
        <w:t>注：询比响应人应根据询比响应人须知前附表第</w:t>
      </w:r>
      <w:r>
        <w:rPr>
          <w:rFonts w:ascii="宋体" w:hAnsi="宋体" w:cs="宋体"/>
          <w:color w:val="auto"/>
          <w:highlight w:val="none"/>
        </w:rPr>
        <w:t>3. 5 (6)</w:t>
      </w:r>
      <w:r>
        <w:rPr>
          <w:rFonts w:hint="eastAsia" w:ascii="宋体" w:hAnsi="宋体" w:cs="宋体"/>
          <w:color w:val="auto"/>
          <w:highlight w:val="none"/>
        </w:rPr>
        <w:t>项的要求在本表后附相关证明材料。</w:t>
      </w:r>
    </w:p>
    <w:p w14:paraId="02DF295F">
      <w:pPr>
        <w:pStyle w:val="4"/>
        <w:rPr>
          <w:rFonts w:ascii="宋体" w:cs="Times New Roman"/>
          <w:color w:val="auto"/>
          <w:highlight w:val="none"/>
        </w:rPr>
      </w:pPr>
      <w:bookmarkStart w:id="287" w:name="_Toc19473"/>
      <w:bookmarkStart w:id="288" w:name="bookmark633"/>
      <w:bookmarkStart w:id="289" w:name="bookmark635"/>
      <w:bookmarkStart w:id="290" w:name="bookmark634"/>
      <w:r>
        <w:rPr>
          <w:rFonts w:hint="eastAsia" w:ascii="宋体" w:hAnsi="宋体" w:cs="宋体"/>
          <w:color w:val="auto"/>
          <w:highlight w:val="none"/>
        </w:rPr>
        <w:t>八、响应方案</w:t>
      </w:r>
      <w:r>
        <w:rPr>
          <w:rFonts w:ascii="宋体" w:hAnsi="宋体" w:cs="宋体"/>
          <w:color w:val="auto"/>
          <w:highlight w:val="none"/>
        </w:rPr>
        <w:t>(C)</w:t>
      </w:r>
      <w:bookmarkEnd w:id="287"/>
      <w:bookmarkEnd w:id="288"/>
      <w:bookmarkEnd w:id="289"/>
      <w:bookmarkEnd w:id="290"/>
    </w:p>
    <w:p w14:paraId="37F20BC0">
      <w:pPr>
        <w:pStyle w:val="51"/>
        <w:spacing w:line="360" w:lineRule="auto"/>
        <w:ind w:firstLine="840"/>
        <w:jc w:val="left"/>
        <w:rPr>
          <w:rFonts w:cs="Times New Roman"/>
          <w:color w:val="auto"/>
          <w:sz w:val="24"/>
          <w:szCs w:val="24"/>
          <w:highlight w:val="none"/>
        </w:rPr>
      </w:pPr>
    </w:p>
    <w:p w14:paraId="50C92F59">
      <w:pPr>
        <w:spacing w:line="360" w:lineRule="auto"/>
        <w:ind w:firstLine="240" w:firstLineChars="100"/>
        <w:jc w:val="center"/>
        <w:rPr>
          <w:rFonts w:ascii="宋体" w:cs="Times New Roman"/>
          <w:color w:val="auto"/>
          <w:highlight w:val="none"/>
        </w:rPr>
      </w:pPr>
      <w:r>
        <w:rPr>
          <w:rFonts w:hint="eastAsia" w:ascii="宋体" w:hAnsi="宋体" w:cs="宋体"/>
          <w:color w:val="auto"/>
          <w:sz w:val="24"/>
          <w:szCs w:val="24"/>
          <w:highlight w:val="none"/>
        </w:rPr>
        <w:t>格式自拟</w:t>
      </w:r>
      <w:r>
        <w:rPr>
          <w:rFonts w:ascii="宋体" w:cs="Times New Roman"/>
          <w:color w:val="auto"/>
          <w:highlight w:val="none"/>
        </w:rPr>
        <w:br w:type="page"/>
      </w:r>
    </w:p>
    <w:p w14:paraId="6322DD1C">
      <w:pPr>
        <w:pStyle w:val="4"/>
        <w:rPr>
          <w:rFonts w:ascii="宋体" w:cs="Times New Roman"/>
          <w:color w:val="auto"/>
          <w:highlight w:val="none"/>
        </w:rPr>
      </w:pPr>
      <w:bookmarkStart w:id="291" w:name="bookmark646"/>
      <w:bookmarkStart w:id="292" w:name="_Toc1966"/>
      <w:bookmarkStart w:id="293" w:name="bookmark645"/>
      <w:bookmarkStart w:id="294" w:name="bookmark647"/>
      <w:r>
        <w:rPr>
          <w:rFonts w:hint="eastAsia" w:ascii="宋体" w:hAnsi="宋体" w:cs="宋体"/>
          <w:color w:val="auto"/>
          <w:highlight w:val="none"/>
        </w:rPr>
        <w:t>九、其他资料</w:t>
      </w:r>
      <w:bookmarkEnd w:id="291"/>
      <w:bookmarkEnd w:id="292"/>
      <w:bookmarkEnd w:id="293"/>
      <w:bookmarkEnd w:id="294"/>
    </w:p>
    <w:p w14:paraId="4FE492A4">
      <w:pPr>
        <w:pStyle w:val="51"/>
        <w:tabs>
          <w:tab w:val="left" w:pos="1371"/>
        </w:tabs>
        <w:spacing w:line="360" w:lineRule="auto"/>
        <w:jc w:val="left"/>
        <w:rPr>
          <w:rFonts w:cs="Times New Roman"/>
          <w:color w:val="auto"/>
          <w:sz w:val="24"/>
          <w:szCs w:val="24"/>
          <w:highlight w:val="none"/>
        </w:rPr>
      </w:pPr>
    </w:p>
    <w:p w14:paraId="1079B035">
      <w:pPr>
        <w:pStyle w:val="51"/>
        <w:tabs>
          <w:tab w:val="left" w:pos="1371"/>
        </w:tabs>
        <w:spacing w:line="360" w:lineRule="auto"/>
        <w:jc w:val="center"/>
        <w:rPr>
          <w:rFonts w:cs="Times New Roman"/>
          <w:color w:val="auto"/>
          <w:sz w:val="30"/>
          <w:szCs w:val="30"/>
          <w:highlight w:val="none"/>
          <w:lang w:val="en-US" w:eastAsia="zh-CN"/>
        </w:rPr>
      </w:pPr>
      <w:r>
        <w:rPr>
          <w:rFonts w:hint="eastAsia"/>
          <w:color w:val="auto"/>
          <w:sz w:val="24"/>
          <w:szCs w:val="24"/>
          <w:highlight w:val="none"/>
          <w:lang w:eastAsia="zh-CN"/>
        </w:rPr>
        <w:t>询比响应人</w:t>
      </w:r>
      <w:r>
        <w:rPr>
          <w:rFonts w:hint="eastAsia"/>
          <w:color w:val="auto"/>
          <w:sz w:val="24"/>
          <w:szCs w:val="24"/>
          <w:highlight w:val="none"/>
        </w:rPr>
        <w:t>需提交的其他资料。</w:t>
      </w:r>
    </w:p>
    <w:sectPr>
      <w:pgSz w:w="11906" w:h="16838"/>
      <w:pgMar w:top="1440" w:right="1080" w:bottom="1440" w:left="1080" w:header="851" w:footer="992" w:gutter="0"/>
      <w:pgBorders w:offsetFrom="page">
        <w:top w:val="single" w:color="000000" w:sz="12" w:space="24"/>
        <w:left w:val="single" w:color="000000" w:sz="12" w:space="24"/>
        <w:bottom w:val="single" w:color="000000" w:sz="12" w:space="24"/>
        <w:right w:val="single" w:color="000000" w:sz="12" w:space="24"/>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Black">
    <w:panose1 w:val="020B0A040201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方正小标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A7BF5">
    <w:pPr>
      <w:pStyle w:val="14"/>
      <w:rPr>
        <w:rFonts w:cs="Times New Roman"/>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3205A35">
                          <w:pPr>
                            <w:pStyle w:val="14"/>
                            <w:rPr>
                              <w:rFonts w:cs="Times New Roman"/>
                            </w:rPr>
                          </w:pPr>
                          <w:r>
                            <w:rPr>
                              <w:rFonts w:hint="eastAsia" w:cs="宋体"/>
                            </w:rPr>
                            <w:t>第</w:t>
                          </w:r>
                          <w:r>
                            <w:t xml:space="preserve"> </w:t>
                          </w:r>
                          <w:r>
                            <w:fldChar w:fldCharType="begin"/>
                          </w:r>
                          <w:r>
                            <w:instrText xml:space="preserve"> PAGE  \* MERGEFORMAT </w:instrText>
                          </w:r>
                          <w:r>
                            <w:fldChar w:fldCharType="separate"/>
                          </w:r>
                          <w:r>
                            <w:t>50</w:t>
                          </w:r>
                          <w:r>
                            <w:fldChar w:fldCharType="end"/>
                          </w:r>
                          <w:r>
                            <w:t xml:space="preserve"> </w:t>
                          </w:r>
                          <w:r>
                            <w:rPr>
                              <w:rFonts w:hint="eastAsia" w:cs="宋体"/>
                            </w:rPr>
                            <w:t>页</w:t>
                          </w:r>
                          <w:r>
                            <w:t xml:space="preserve"> </w:t>
                          </w:r>
                          <w:r>
                            <w:rPr>
                              <w:rFonts w:hint="eastAsia" w:cs="宋体"/>
                            </w:rPr>
                            <w:t>共</w:t>
                          </w:r>
                          <w:r>
                            <w:t xml:space="preserve"> </w:t>
                          </w:r>
                          <w:r>
                            <w:fldChar w:fldCharType="begin"/>
                          </w:r>
                          <w:r>
                            <w:instrText xml:space="preserve"> NUMPAGES  \* MERGEFORMAT </w:instrText>
                          </w:r>
                          <w:r>
                            <w:fldChar w:fldCharType="separate"/>
                          </w:r>
                          <w:r>
                            <w:t>65</w:t>
                          </w:r>
                          <w:r>
                            <w:fldChar w:fldCharType="end"/>
                          </w:r>
                          <w:r>
                            <w:t xml:space="preserve"> </w:t>
                          </w:r>
                          <w:r>
                            <w:rPr>
                              <w:rFonts w:hint="eastAsia" w:cs="宋体"/>
                            </w:rPr>
                            <w:t>页</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piiAcMMBAACHAwAADgAAAAAAAAABACAAAAAfAQAAZHJzL2Uyb0RvYy54bWxQ&#10;SwUGAAAAAAYABgBZAQAAVAUAAAAA&#10;">
              <v:fill on="f" focussize="0,0"/>
              <v:stroke on="f"/>
              <v:imagedata o:title=""/>
              <o:lock v:ext="edit" aspectratio="f"/>
              <v:textbox inset="0mm,0mm,0mm,0mm" style="mso-fit-shape-to-text:t;">
                <w:txbxContent>
                  <w:p w14:paraId="43205A35">
                    <w:pPr>
                      <w:pStyle w:val="14"/>
                      <w:rPr>
                        <w:rFonts w:cs="Times New Roman"/>
                      </w:rPr>
                    </w:pPr>
                    <w:r>
                      <w:rPr>
                        <w:rFonts w:hint="eastAsia" w:cs="宋体"/>
                      </w:rPr>
                      <w:t>第</w:t>
                    </w:r>
                    <w:r>
                      <w:t xml:space="preserve"> </w:t>
                    </w:r>
                    <w:r>
                      <w:fldChar w:fldCharType="begin"/>
                    </w:r>
                    <w:r>
                      <w:instrText xml:space="preserve"> PAGE  \* MERGEFORMAT </w:instrText>
                    </w:r>
                    <w:r>
                      <w:fldChar w:fldCharType="separate"/>
                    </w:r>
                    <w:r>
                      <w:t>50</w:t>
                    </w:r>
                    <w:r>
                      <w:fldChar w:fldCharType="end"/>
                    </w:r>
                    <w:r>
                      <w:t xml:space="preserve"> </w:t>
                    </w:r>
                    <w:r>
                      <w:rPr>
                        <w:rFonts w:hint="eastAsia" w:cs="宋体"/>
                      </w:rPr>
                      <w:t>页</w:t>
                    </w:r>
                    <w:r>
                      <w:t xml:space="preserve"> </w:t>
                    </w:r>
                    <w:r>
                      <w:rPr>
                        <w:rFonts w:hint="eastAsia" w:cs="宋体"/>
                      </w:rPr>
                      <w:t>共</w:t>
                    </w:r>
                    <w:r>
                      <w:t xml:space="preserve"> </w:t>
                    </w:r>
                    <w:r>
                      <w:fldChar w:fldCharType="begin"/>
                    </w:r>
                    <w:r>
                      <w:instrText xml:space="preserve"> NUMPAGES  \* MERGEFORMAT </w:instrText>
                    </w:r>
                    <w:r>
                      <w:fldChar w:fldCharType="separate"/>
                    </w:r>
                    <w:r>
                      <w:t>65</w:t>
                    </w:r>
                    <w:r>
                      <w:fldChar w:fldCharType="end"/>
                    </w:r>
                    <w:r>
                      <w:t xml:space="preserve"> </w:t>
                    </w:r>
                    <w:r>
                      <w:rPr>
                        <w:rFonts w:hint="eastAsia" w:cs="宋体"/>
                      </w:rPr>
                      <w:t>页</w:t>
                    </w:r>
                  </w:p>
                </w:txbxContent>
              </v:textbox>
            </v:rect>
          </w:pict>
        </mc:Fallback>
      </mc:AlternateContent>
    </w:r>
    <w:r>
      <w:rPr>
        <w:rFonts w:cs="Times New Roman"/>
      </w:rPr>
      <w:drawing>
        <wp:inline distT="0" distB="0" distL="0" distR="0">
          <wp:extent cx="2057400" cy="228600"/>
          <wp:effectExtent l="0" t="0" r="0" b="0"/>
          <wp:docPr id="4099" name="图片 20" descr="4c6f7556df56fc2ddbe1987f1b87c40"/>
          <wp:cNvGraphicFramePr/>
          <a:graphic xmlns:a="http://schemas.openxmlformats.org/drawingml/2006/main">
            <a:graphicData uri="http://schemas.openxmlformats.org/drawingml/2006/picture">
              <pic:pic xmlns:pic="http://schemas.openxmlformats.org/drawingml/2006/picture">
                <pic:nvPicPr>
                  <pic:cNvPr id="4099" name="图片 20" descr="4c6f7556df56fc2ddbe1987f1b87c40"/>
                  <pic:cNvPicPr/>
                </pic:nvPicPr>
                <pic:blipFill>
                  <a:blip r:embed="rId1" cstate="print"/>
                  <a:srcRect/>
                  <a:stretch>
                    <a:fillRect/>
                  </a:stretch>
                </pic:blipFill>
                <pic:spPr>
                  <a:xfrm>
                    <a:off x="0" y="0"/>
                    <a:ext cx="2057400" cy="228600"/>
                  </a:xfrm>
                  <a:prstGeom prst="rect">
                    <a:avLst/>
                  </a:prstGeom>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FCDD3">
    <w:pPr>
      <w:pStyle w:val="15"/>
      <w:pBdr>
        <w:top w:val="none" w:color="auto" w:sz="0" w:space="0"/>
        <w:left w:val="none" w:color="auto" w:sz="0" w:space="0"/>
        <w:bottom w:val="none" w:color="auto" w:sz="0" w:space="0"/>
        <w:right w:val="none" w:color="auto" w:sz="0" w:space="0"/>
      </w:pBdr>
      <w:jc w:val="left"/>
      <w:rPr>
        <w:rFonts w:hint="eastAsia" w:ascii="宋体" w:hAnsi="宋体" w:eastAsia="宋体" w:cs="宋体"/>
        <w:sz w:val="21"/>
        <w:szCs w:val="21"/>
      </w:rPr>
    </w:pPr>
    <w:r>
      <w:rPr>
        <w:rFonts w:hint="eastAsia" w:ascii="宋体" w:hAnsi="宋体" w:eastAsia="宋体" w:cs="宋体"/>
        <w:sz w:val="21"/>
        <w:szCs w:val="21"/>
        <w:u w:val="single"/>
      </w:rPr>
      <w:pict>
        <v:shape id="4097" o:spid="_x0000_s4097" o:spt="136" type="#_x0000_t136" style="position:absolute;left:0pt;height:144.9pt;width:508.9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容基招标" style="font-family:宋体;font-size:144pt;v-text-align:center;"/>
        </v:shape>
      </w:pict>
    </w:r>
    <w:r>
      <w:rPr>
        <w:rFonts w:hint="eastAsia" w:ascii="宋体" w:hAnsi="宋体" w:cs="宋体"/>
        <w:sz w:val="21"/>
        <w:szCs w:val="21"/>
        <w:u w:val="single"/>
        <w:lang w:eastAsia="zh-CN"/>
      </w:rPr>
      <w:t>青海民族大学东序校区清香餐厅引入社会餐饮企业经营采购项目</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询比采购文件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0092A"/>
    <w:multiLevelType w:val="singleLevel"/>
    <w:tmpl w:val="F810092A"/>
    <w:lvl w:ilvl="0" w:tentative="0">
      <w:start w:val="1"/>
      <w:numFmt w:val="decimal"/>
      <w:suff w:val="nothing"/>
      <w:lvlText w:val="%1．"/>
      <w:lvlJc w:val="left"/>
      <w:pPr>
        <w:ind w:left="0" w:firstLine="400"/>
      </w:pPr>
      <w:rPr>
        <w:rFonts w:hint="default"/>
      </w:rPr>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4"/>
    <w:multiLevelType w:val="singleLevel"/>
    <w:tmpl w:val="00000004"/>
    <w:lvl w:ilvl="0" w:tentative="0">
      <w:start w:val="1"/>
      <w:numFmt w:val="ideographDigital"/>
      <w:lvlText w:val="(%1)"/>
      <w:lvlJc w:val="left"/>
      <w:rPr>
        <w:rFonts w:ascii="宋体" w:hAnsi="宋体" w:eastAsia="宋体"/>
        <w:b w:val="0"/>
        <w:bCs w:val="0"/>
        <w:i w:val="0"/>
        <w:iCs w:val="0"/>
        <w:smallCaps w:val="0"/>
        <w:color w:val="000000"/>
        <w:spacing w:val="0"/>
        <w:w w:val="100"/>
        <w:position w:val="0"/>
        <w:sz w:val="30"/>
        <w:szCs w:val="30"/>
        <w:u w:val="none"/>
      </w:rPr>
    </w:lvl>
  </w:abstractNum>
  <w:abstractNum w:abstractNumId="5">
    <w:nsid w:val="00000005"/>
    <w:multiLevelType w:val="singleLevel"/>
    <w:tmpl w:val="00000005"/>
    <w:lvl w:ilvl="0" w:tentative="0">
      <w:start w:val="1"/>
      <w:numFmt w:val="decimal"/>
      <w:lvlText w:val="(%1)"/>
      <w:lvlJc w:val="left"/>
      <w:rPr>
        <w:rFonts w:ascii="Times New Roman" w:hAnsi="Times New Roman" w:eastAsia="Times New Roman"/>
        <w:b w:val="0"/>
        <w:bCs w:val="0"/>
        <w:i w:val="0"/>
        <w:iCs w:val="0"/>
        <w:smallCaps w:val="0"/>
        <w:color w:val="000000"/>
        <w:spacing w:val="0"/>
        <w:w w:val="100"/>
        <w:position w:val="0"/>
        <w:sz w:val="24"/>
        <w:szCs w:val="24"/>
        <w:u w:val="none"/>
      </w:rPr>
    </w:lvl>
  </w:abstractNum>
  <w:abstractNum w:abstractNumId="6">
    <w:nsid w:val="00000007"/>
    <w:multiLevelType w:val="singleLevel"/>
    <w:tmpl w:val="00000007"/>
    <w:lvl w:ilvl="0" w:tentative="0">
      <w:start w:val="1"/>
      <w:numFmt w:val="decimal"/>
      <w:lvlText w:val="(%1)"/>
      <w:lvlJc w:val="left"/>
      <w:rPr>
        <w:rFonts w:ascii="Times New Roman" w:hAnsi="Times New Roman" w:eastAsia="Times New Roman"/>
        <w:b w:val="0"/>
        <w:bCs w:val="0"/>
        <w:i w:val="0"/>
        <w:iCs w:val="0"/>
        <w:smallCaps w:val="0"/>
        <w:color w:val="000000"/>
        <w:spacing w:val="0"/>
        <w:w w:val="100"/>
        <w:position w:val="0"/>
        <w:sz w:val="24"/>
        <w:szCs w:val="24"/>
        <w:u w:val="none"/>
      </w:rPr>
    </w:lvl>
  </w:abstractNum>
  <w:abstractNum w:abstractNumId="7">
    <w:nsid w:val="00000008"/>
    <w:multiLevelType w:val="multilevel"/>
    <w:tmpl w:val="00000008"/>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31"/>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0000009"/>
    <w:multiLevelType w:val="singleLevel"/>
    <w:tmpl w:val="00000009"/>
    <w:lvl w:ilvl="0" w:tentative="0">
      <w:start w:val="1"/>
      <w:numFmt w:val="decimal"/>
      <w:suff w:val="nothing"/>
      <w:lvlText w:val="%1、"/>
      <w:lvlJc w:val="left"/>
    </w:lvl>
  </w:abstractNum>
  <w:abstractNum w:abstractNumId="9">
    <w:nsid w:val="0000000A"/>
    <w:multiLevelType w:val="singleLevel"/>
    <w:tmpl w:val="0000000A"/>
    <w:lvl w:ilvl="0" w:tentative="0">
      <w:start w:val="1"/>
      <w:numFmt w:val="decimal"/>
      <w:lvlText w:val="%1."/>
      <w:lvlJc w:val="left"/>
      <w:rPr>
        <w:rFonts w:ascii="Times New Roman" w:hAnsi="Times New Roman" w:eastAsia="Times New Roman"/>
        <w:b w:val="0"/>
        <w:bCs w:val="0"/>
        <w:i w:val="0"/>
        <w:iCs w:val="0"/>
        <w:smallCaps w:val="0"/>
        <w:color w:val="000000"/>
        <w:spacing w:val="0"/>
        <w:w w:val="100"/>
        <w:position w:val="0"/>
        <w:sz w:val="24"/>
        <w:szCs w:val="24"/>
        <w:u w:val="none"/>
      </w:rPr>
    </w:lvl>
  </w:abstractNum>
  <w:abstractNum w:abstractNumId="10">
    <w:nsid w:val="2E694AF2"/>
    <w:multiLevelType w:val="singleLevel"/>
    <w:tmpl w:val="2E694AF2"/>
    <w:lvl w:ilvl="0" w:tentative="0">
      <w:start w:val="6"/>
      <w:numFmt w:val="chineseCounting"/>
      <w:suff w:val="nothing"/>
      <w:lvlText w:val="%1、"/>
      <w:lvlJc w:val="left"/>
      <w:rPr>
        <w:rFonts w:hint="eastAsia"/>
      </w:rPr>
    </w:lvl>
  </w:abstractNum>
  <w:num w:numId="1">
    <w:abstractNumId w:val="7"/>
  </w:num>
  <w:num w:numId="2">
    <w:abstractNumId w:val="2"/>
  </w:num>
  <w:num w:numId="3">
    <w:abstractNumId w:val="1"/>
  </w:num>
  <w:num w:numId="4">
    <w:abstractNumId w:val="3"/>
  </w:num>
  <w:num w:numId="5">
    <w:abstractNumId w:val="8"/>
  </w:num>
  <w:num w:numId="6">
    <w:abstractNumId w:val="0"/>
  </w:num>
  <w:num w:numId="7">
    <w:abstractNumId w:val="9"/>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YWNkYzYxYTMxZDIyMTYxNzhiZTYyYzVkZDA3YTIifQ=="/>
  </w:docVars>
  <w:rsids>
    <w:rsidRoot w:val="00000000"/>
    <w:rsid w:val="00A41184"/>
    <w:rsid w:val="00E85510"/>
    <w:rsid w:val="0157332E"/>
    <w:rsid w:val="016A347B"/>
    <w:rsid w:val="01727E45"/>
    <w:rsid w:val="01976EAE"/>
    <w:rsid w:val="021E7C7C"/>
    <w:rsid w:val="0234155E"/>
    <w:rsid w:val="02955413"/>
    <w:rsid w:val="02C80459"/>
    <w:rsid w:val="039C429D"/>
    <w:rsid w:val="040B03BE"/>
    <w:rsid w:val="04477AA3"/>
    <w:rsid w:val="05504736"/>
    <w:rsid w:val="05F74AE5"/>
    <w:rsid w:val="05FC40D6"/>
    <w:rsid w:val="062963A0"/>
    <w:rsid w:val="06E50F6B"/>
    <w:rsid w:val="07644509"/>
    <w:rsid w:val="0885769F"/>
    <w:rsid w:val="08ED64C0"/>
    <w:rsid w:val="090F02BB"/>
    <w:rsid w:val="0AA67997"/>
    <w:rsid w:val="0B5F16BE"/>
    <w:rsid w:val="0B6032EA"/>
    <w:rsid w:val="0B811AED"/>
    <w:rsid w:val="0BEC1221"/>
    <w:rsid w:val="0C00549F"/>
    <w:rsid w:val="0C8A677F"/>
    <w:rsid w:val="0D106D4E"/>
    <w:rsid w:val="0D267E24"/>
    <w:rsid w:val="0D805C5B"/>
    <w:rsid w:val="0DA56586"/>
    <w:rsid w:val="0F694F51"/>
    <w:rsid w:val="0FD4125D"/>
    <w:rsid w:val="101C3B92"/>
    <w:rsid w:val="10265DD1"/>
    <w:rsid w:val="102D2155"/>
    <w:rsid w:val="110A67D7"/>
    <w:rsid w:val="11971566"/>
    <w:rsid w:val="12764231"/>
    <w:rsid w:val="12AC0CCA"/>
    <w:rsid w:val="13091778"/>
    <w:rsid w:val="136469D8"/>
    <w:rsid w:val="140E11AA"/>
    <w:rsid w:val="14153D34"/>
    <w:rsid w:val="15700933"/>
    <w:rsid w:val="15AD55EB"/>
    <w:rsid w:val="15DE18EA"/>
    <w:rsid w:val="15EB6157"/>
    <w:rsid w:val="18CD0120"/>
    <w:rsid w:val="18E216BF"/>
    <w:rsid w:val="195727B4"/>
    <w:rsid w:val="1967055E"/>
    <w:rsid w:val="19BC2960"/>
    <w:rsid w:val="1A3B761A"/>
    <w:rsid w:val="1A646862"/>
    <w:rsid w:val="1AAB5819"/>
    <w:rsid w:val="1AAC3C32"/>
    <w:rsid w:val="1B3171D1"/>
    <w:rsid w:val="1BE02741"/>
    <w:rsid w:val="1C5446B4"/>
    <w:rsid w:val="1CE1785D"/>
    <w:rsid w:val="1D12460E"/>
    <w:rsid w:val="1D143BC1"/>
    <w:rsid w:val="1D905BFD"/>
    <w:rsid w:val="1DAE3119"/>
    <w:rsid w:val="1EA263C3"/>
    <w:rsid w:val="1EB739B6"/>
    <w:rsid w:val="1F4E7D3F"/>
    <w:rsid w:val="200B09FB"/>
    <w:rsid w:val="2012495D"/>
    <w:rsid w:val="2094494D"/>
    <w:rsid w:val="21526869"/>
    <w:rsid w:val="22D221CB"/>
    <w:rsid w:val="23813850"/>
    <w:rsid w:val="248303E0"/>
    <w:rsid w:val="25604637"/>
    <w:rsid w:val="25F52A64"/>
    <w:rsid w:val="278006F9"/>
    <w:rsid w:val="295860FD"/>
    <w:rsid w:val="29636128"/>
    <w:rsid w:val="2A124AED"/>
    <w:rsid w:val="2A9A46E9"/>
    <w:rsid w:val="2AEC0357"/>
    <w:rsid w:val="2B296AE5"/>
    <w:rsid w:val="2B6B2A05"/>
    <w:rsid w:val="2B9256E1"/>
    <w:rsid w:val="2BE27F2E"/>
    <w:rsid w:val="2C093973"/>
    <w:rsid w:val="2C31056E"/>
    <w:rsid w:val="2C5C7B22"/>
    <w:rsid w:val="2DA46A07"/>
    <w:rsid w:val="2E8738B1"/>
    <w:rsid w:val="2EDD70F1"/>
    <w:rsid w:val="2F6B0734"/>
    <w:rsid w:val="301C02EE"/>
    <w:rsid w:val="306C7DC6"/>
    <w:rsid w:val="3278199E"/>
    <w:rsid w:val="329A50BF"/>
    <w:rsid w:val="32A14CD4"/>
    <w:rsid w:val="334D0383"/>
    <w:rsid w:val="33E22740"/>
    <w:rsid w:val="34CF421D"/>
    <w:rsid w:val="352C7E85"/>
    <w:rsid w:val="35C86030"/>
    <w:rsid w:val="36371D7C"/>
    <w:rsid w:val="363D5C2F"/>
    <w:rsid w:val="36CC5F45"/>
    <w:rsid w:val="383A174A"/>
    <w:rsid w:val="385470C1"/>
    <w:rsid w:val="39322EFE"/>
    <w:rsid w:val="39634E37"/>
    <w:rsid w:val="399B0211"/>
    <w:rsid w:val="39B54D30"/>
    <w:rsid w:val="3A323308"/>
    <w:rsid w:val="3A8733B3"/>
    <w:rsid w:val="3AEA76E5"/>
    <w:rsid w:val="3AFD61EB"/>
    <w:rsid w:val="3B172535"/>
    <w:rsid w:val="3B3364B2"/>
    <w:rsid w:val="3B627475"/>
    <w:rsid w:val="3BB92FCA"/>
    <w:rsid w:val="3DAC67A5"/>
    <w:rsid w:val="3E0075A7"/>
    <w:rsid w:val="3E6D5CDB"/>
    <w:rsid w:val="3F4858C1"/>
    <w:rsid w:val="3F842F0E"/>
    <w:rsid w:val="3F995DCE"/>
    <w:rsid w:val="3FC17BA9"/>
    <w:rsid w:val="400B363F"/>
    <w:rsid w:val="40477626"/>
    <w:rsid w:val="40503261"/>
    <w:rsid w:val="40B1640C"/>
    <w:rsid w:val="427B20EB"/>
    <w:rsid w:val="42A907D6"/>
    <w:rsid w:val="42B706E8"/>
    <w:rsid w:val="43A475B7"/>
    <w:rsid w:val="43F236C5"/>
    <w:rsid w:val="44662566"/>
    <w:rsid w:val="45380E00"/>
    <w:rsid w:val="456E276D"/>
    <w:rsid w:val="45A07D64"/>
    <w:rsid w:val="45E17186"/>
    <w:rsid w:val="46775A0F"/>
    <w:rsid w:val="47722918"/>
    <w:rsid w:val="47976ABD"/>
    <w:rsid w:val="48185BFF"/>
    <w:rsid w:val="482E032B"/>
    <w:rsid w:val="496E48F0"/>
    <w:rsid w:val="4A064B62"/>
    <w:rsid w:val="4AA30AF1"/>
    <w:rsid w:val="4B29302C"/>
    <w:rsid w:val="4B410375"/>
    <w:rsid w:val="4BA9746C"/>
    <w:rsid w:val="4CAD0BB5"/>
    <w:rsid w:val="4F1467CE"/>
    <w:rsid w:val="4F485B34"/>
    <w:rsid w:val="4F4F0B87"/>
    <w:rsid w:val="4F603E27"/>
    <w:rsid w:val="4F78309C"/>
    <w:rsid w:val="4FF164E8"/>
    <w:rsid w:val="502C75C9"/>
    <w:rsid w:val="50BB7EA0"/>
    <w:rsid w:val="50C02B78"/>
    <w:rsid w:val="50CA4969"/>
    <w:rsid w:val="51174D0D"/>
    <w:rsid w:val="51623FD0"/>
    <w:rsid w:val="51A11B6E"/>
    <w:rsid w:val="525E1D06"/>
    <w:rsid w:val="528D4BD8"/>
    <w:rsid w:val="53947F15"/>
    <w:rsid w:val="540A0989"/>
    <w:rsid w:val="542D1E3F"/>
    <w:rsid w:val="54D67D81"/>
    <w:rsid w:val="558E1D32"/>
    <w:rsid w:val="568C2E38"/>
    <w:rsid w:val="56945B1C"/>
    <w:rsid w:val="57AB10BE"/>
    <w:rsid w:val="57C13DC5"/>
    <w:rsid w:val="57F42B50"/>
    <w:rsid w:val="593C4466"/>
    <w:rsid w:val="5A334B3C"/>
    <w:rsid w:val="5AB43AF5"/>
    <w:rsid w:val="5B47131C"/>
    <w:rsid w:val="5C300FA2"/>
    <w:rsid w:val="5C3A1A9D"/>
    <w:rsid w:val="5CF16BAF"/>
    <w:rsid w:val="5DC60FCA"/>
    <w:rsid w:val="5DCB52BC"/>
    <w:rsid w:val="5E535813"/>
    <w:rsid w:val="5ED33CEC"/>
    <w:rsid w:val="5F1B6737"/>
    <w:rsid w:val="5F4A19E8"/>
    <w:rsid w:val="5F503386"/>
    <w:rsid w:val="5F850ED3"/>
    <w:rsid w:val="602A2D2E"/>
    <w:rsid w:val="60705B83"/>
    <w:rsid w:val="610037FD"/>
    <w:rsid w:val="61E830D4"/>
    <w:rsid w:val="627B4AE2"/>
    <w:rsid w:val="63C86DC4"/>
    <w:rsid w:val="643D6EB9"/>
    <w:rsid w:val="64487C27"/>
    <w:rsid w:val="64E5096B"/>
    <w:rsid w:val="64EF0CA8"/>
    <w:rsid w:val="650D0296"/>
    <w:rsid w:val="65416C31"/>
    <w:rsid w:val="65E17F1D"/>
    <w:rsid w:val="6616739E"/>
    <w:rsid w:val="664D2080"/>
    <w:rsid w:val="66651FD6"/>
    <w:rsid w:val="66680A54"/>
    <w:rsid w:val="66A64DB8"/>
    <w:rsid w:val="66D7326D"/>
    <w:rsid w:val="66F432E4"/>
    <w:rsid w:val="670378F6"/>
    <w:rsid w:val="6714443A"/>
    <w:rsid w:val="67C96BAF"/>
    <w:rsid w:val="67E904A7"/>
    <w:rsid w:val="69A36249"/>
    <w:rsid w:val="69EF33C0"/>
    <w:rsid w:val="6B842586"/>
    <w:rsid w:val="6C032046"/>
    <w:rsid w:val="6C0D2C0E"/>
    <w:rsid w:val="6C942252"/>
    <w:rsid w:val="6CBC5656"/>
    <w:rsid w:val="6D0931DE"/>
    <w:rsid w:val="6D9D19A6"/>
    <w:rsid w:val="6DE22E9A"/>
    <w:rsid w:val="6E2F6F0D"/>
    <w:rsid w:val="6E5A0FD0"/>
    <w:rsid w:val="6EEE3AC1"/>
    <w:rsid w:val="6EFA2066"/>
    <w:rsid w:val="6F2044A2"/>
    <w:rsid w:val="6F775B64"/>
    <w:rsid w:val="70970854"/>
    <w:rsid w:val="71461035"/>
    <w:rsid w:val="720B0A4D"/>
    <w:rsid w:val="72E21A5D"/>
    <w:rsid w:val="73356235"/>
    <w:rsid w:val="74061605"/>
    <w:rsid w:val="745224A7"/>
    <w:rsid w:val="74A6000B"/>
    <w:rsid w:val="76360AE7"/>
    <w:rsid w:val="76572590"/>
    <w:rsid w:val="767D0208"/>
    <w:rsid w:val="76970374"/>
    <w:rsid w:val="777367F2"/>
    <w:rsid w:val="77EB6DF0"/>
    <w:rsid w:val="79387C62"/>
    <w:rsid w:val="79504D6A"/>
    <w:rsid w:val="79513952"/>
    <w:rsid w:val="79E916CD"/>
    <w:rsid w:val="79FA5CDD"/>
    <w:rsid w:val="7A7C6425"/>
    <w:rsid w:val="7AF77D93"/>
    <w:rsid w:val="7B215C31"/>
    <w:rsid w:val="7BB43628"/>
    <w:rsid w:val="7BC30A8C"/>
    <w:rsid w:val="7D6C7F41"/>
    <w:rsid w:val="7DF70FCA"/>
    <w:rsid w:val="7E5C4F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3"/>
    <w:autoRedefine/>
    <w:qFormat/>
    <w:uiPriority w:val="99"/>
    <w:pPr>
      <w:keepNext/>
      <w:keepLines/>
      <w:spacing w:line="576" w:lineRule="auto"/>
      <w:jc w:val="center"/>
      <w:outlineLvl w:val="0"/>
    </w:pPr>
    <w:rPr>
      <w:b/>
      <w:bCs/>
      <w:kern w:val="44"/>
      <w:sz w:val="44"/>
      <w:szCs w:val="44"/>
    </w:rPr>
  </w:style>
  <w:style w:type="paragraph" w:styleId="3">
    <w:name w:val="heading 2"/>
    <w:basedOn w:val="1"/>
    <w:next w:val="1"/>
    <w:link w:val="34"/>
    <w:autoRedefine/>
    <w:qFormat/>
    <w:uiPriority w:val="99"/>
    <w:pPr>
      <w:spacing w:line="360" w:lineRule="auto"/>
      <w:jc w:val="center"/>
      <w:outlineLvl w:val="1"/>
    </w:pPr>
    <w:rPr>
      <w:b/>
      <w:bCs/>
      <w:sz w:val="28"/>
      <w:szCs w:val="28"/>
    </w:rPr>
  </w:style>
  <w:style w:type="paragraph" w:styleId="4">
    <w:name w:val="heading 3"/>
    <w:basedOn w:val="1"/>
    <w:next w:val="1"/>
    <w:link w:val="35"/>
    <w:autoRedefine/>
    <w:qFormat/>
    <w:uiPriority w:val="99"/>
    <w:pPr>
      <w:keepNext/>
      <w:keepLines/>
      <w:spacing w:line="360" w:lineRule="auto"/>
      <w:jc w:val="center"/>
      <w:outlineLvl w:val="2"/>
    </w:pPr>
    <w:rPr>
      <w:b/>
      <w:bCs/>
      <w:sz w:val="36"/>
      <w:szCs w:val="36"/>
    </w:rPr>
  </w:style>
  <w:style w:type="character" w:default="1" w:styleId="29">
    <w:name w:val="Default Paragraph Font"/>
    <w:autoRedefine/>
    <w:qFormat/>
    <w:uiPriority w:val="99"/>
  </w:style>
  <w:style w:type="table" w:default="1" w:styleId="20">
    <w:name w:val="Normal Table"/>
    <w:autoRedefine/>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rFonts w:ascii="Calibri" w:hAnsi="Calibri"/>
    </w:rPr>
  </w:style>
  <w:style w:type="paragraph" w:styleId="6">
    <w:name w:val="Normal Indent"/>
    <w:basedOn w:val="1"/>
    <w:qFormat/>
    <w:uiPriority w:val="0"/>
    <w:pPr>
      <w:ind w:firstLine="420" w:firstLineChars="200"/>
    </w:pPr>
  </w:style>
  <w:style w:type="paragraph" w:styleId="7">
    <w:name w:val="Document Map"/>
    <w:basedOn w:val="1"/>
    <w:link w:val="36"/>
    <w:autoRedefine/>
    <w:qFormat/>
    <w:uiPriority w:val="99"/>
    <w:rPr>
      <w:rFonts w:ascii="Microsoft YaHei UI" w:hAnsi="Times New Roman" w:eastAsia="Microsoft YaHei UI" w:cs="Microsoft YaHei UI"/>
      <w:sz w:val="18"/>
      <w:szCs w:val="18"/>
    </w:rPr>
  </w:style>
  <w:style w:type="paragraph" w:styleId="8">
    <w:name w:val="annotation text"/>
    <w:basedOn w:val="1"/>
    <w:link w:val="37"/>
    <w:autoRedefine/>
    <w:qFormat/>
    <w:uiPriority w:val="99"/>
    <w:pPr>
      <w:jc w:val="left"/>
    </w:pPr>
    <w:rPr>
      <w:rFonts w:ascii="Times New Roman" w:hAnsi="Times New Roman" w:cs="Times New Roman"/>
      <w:kern w:val="0"/>
      <w:sz w:val="20"/>
      <w:szCs w:val="20"/>
    </w:rPr>
  </w:style>
  <w:style w:type="paragraph" w:styleId="9">
    <w:name w:val="Body Text"/>
    <w:basedOn w:val="1"/>
    <w:next w:val="10"/>
    <w:link w:val="38"/>
    <w:autoRedefine/>
    <w:qFormat/>
    <w:uiPriority w:val="99"/>
    <w:pPr>
      <w:spacing w:after="120"/>
    </w:pPr>
  </w:style>
  <w:style w:type="paragraph" w:styleId="10">
    <w:name w:val="Plain Text"/>
    <w:basedOn w:val="1"/>
    <w:next w:val="11"/>
    <w:link w:val="39"/>
    <w:autoRedefine/>
    <w:qFormat/>
    <w:uiPriority w:val="99"/>
    <w:rPr>
      <w:rFonts w:ascii="宋体" w:hAnsi="Courier New" w:cs="宋体"/>
    </w:rPr>
  </w:style>
  <w:style w:type="paragraph" w:styleId="11">
    <w:name w:val="annotation subject"/>
    <w:basedOn w:val="8"/>
    <w:next w:val="12"/>
    <w:link w:val="40"/>
    <w:autoRedefine/>
    <w:qFormat/>
    <w:uiPriority w:val="99"/>
    <w:rPr>
      <w:b/>
      <w:bCs/>
    </w:rPr>
  </w:style>
  <w:style w:type="paragraph" w:styleId="12">
    <w:name w:val="toc 3"/>
    <w:basedOn w:val="1"/>
    <w:next w:val="1"/>
    <w:autoRedefine/>
    <w:qFormat/>
    <w:uiPriority w:val="99"/>
    <w:pPr>
      <w:ind w:left="840" w:leftChars="400"/>
    </w:pPr>
  </w:style>
  <w:style w:type="paragraph" w:styleId="13">
    <w:name w:val="Body Text Indent"/>
    <w:basedOn w:val="1"/>
    <w:link w:val="41"/>
    <w:autoRedefine/>
    <w:qFormat/>
    <w:uiPriority w:val="99"/>
    <w:pPr>
      <w:tabs>
        <w:tab w:val="left" w:pos="2160"/>
      </w:tabs>
      <w:ind w:left="2159" w:leftChars="1028" w:firstLine="1"/>
    </w:pPr>
    <w:rPr>
      <w:rFonts w:ascii="宋体" w:hAnsi="宋体" w:cs="宋体"/>
      <w:kern w:val="0"/>
      <w:sz w:val="20"/>
      <w:szCs w:val="20"/>
    </w:rPr>
  </w:style>
  <w:style w:type="paragraph" w:styleId="14">
    <w:name w:val="footer"/>
    <w:basedOn w:val="1"/>
    <w:link w:val="42"/>
    <w:autoRedefine/>
    <w:qFormat/>
    <w:uiPriority w:val="99"/>
    <w:pPr>
      <w:tabs>
        <w:tab w:val="center" w:pos="4153"/>
        <w:tab w:val="right" w:pos="8306"/>
      </w:tabs>
      <w:snapToGrid w:val="0"/>
      <w:jc w:val="left"/>
    </w:pPr>
    <w:rPr>
      <w:sz w:val="18"/>
      <w:szCs w:val="18"/>
    </w:rPr>
  </w:style>
  <w:style w:type="paragraph" w:styleId="15">
    <w:name w:val="header"/>
    <w:basedOn w:val="1"/>
    <w:link w:val="4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6">
    <w:name w:val="toc 1"/>
    <w:basedOn w:val="1"/>
    <w:next w:val="1"/>
    <w:autoRedefine/>
    <w:qFormat/>
    <w:uiPriority w:val="99"/>
  </w:style>
  <w:style w:type="paragraph" w:styleId="17">
    <w:name w:val="toc 2"/>
    <w:basedOn w:val="1"/>
    <w:next w:val="1"/>
    <w:autoRedefine/>
    <w:qFormat/>
    <w:uiPriority w:val="99"/>
    <w:pPr>
      <w:ind w:left="420" w:leftChars="200"/>
    </w:pPr>
  </w:style>
  <w:style w:type="paragraph" w:styleId="18">
    <w:name w:val="Normal (Web)"/>
    <w:basedOn w:val="1"/>
    <w:autoRedefine/>
    <w:qFormat/>
    <w:uiPriority w:val="99"/>
    <w:pPr>
      <w:spacing w:beforeAutospacing="1" w:afterAutospacing="1"/>
      <w:jc w:val="left"/>
    </w:pPr>
    <w:rPr>
      <w:kern w:val="0"/>
      <w:sz w:val="24"/>
      <w:szCs w:val="24"/>
    </w:rPr>
  </w:style>
  <w:style w:type="paragraph" w:styleId="19">
    <w:name w:val="Body Text First Indent 2"/>
    <w:basedOn w:val="13"/>
    <w:next w:val="1"/>
    <w:link w:val="44"/>
    <w:autoRedefine/>
    <w:qFormat/>
    <w:uiPriority w:val="99"/>
    <w:pPr>
      <w:ind w:firstLine="420" w:firstLineChars="200"/>
    </w:pPr>
    <w:rPr>
      <w:rFonts w:ascii="Times New Roman" w:hAnsi="Times New Roman" w:eastAsia="仿宋_GB2312" w:cs="Times New Roman"/>
      <w:sz w:val="32"/>
      <w:szCs w:val="32"/>
    </w:rPr>
  </w:style>
  <w:style w:type="table" w:styleId="21">
    <w:name w:val="Table Grid"/>
    <w:basedOn w:val="20"/>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2">
    <w:name w:val="Medium Grid 3"/>
    <w:basedOn w:val="20"/>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3">
    <w:name w:val="Medium Grid 3 Accent 1"/>
    <w:basedOn w:val="20"/>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4">
    <w:name w:val="Medium Grid 3 Accent 2"/>
    <w:basedOn w:val="20"/>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5">
    <w:name w:val="Medium Grid 3 Accent 3"/>
    <w:basedOn w:val="20"/>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6">
    <w:name w:val="Medium Grid 3 Accent 4"/>
    <w:basedOn w:val="20"/>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7">
    <w:name w:val="Medium Grid 3 Accent 5"/>
    <w:basedOn w:val="20"/>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8">
    <w:name w:val="Medium Grid 3 Accent 6"/>
    <w:basedOn w:val="20"/>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30">
    <w:name w:val="Strong"/>
    <w:basedOn w:val="29"/>
    <w:qFormat/>
    <w:uiPriority w:val="0"/>
    <w:rPr>
      <w:b/>
    </w:rPr>
  </w:style>
  <w:style w:type="paragraph" w:customStyle="1" w:styleId="31">
    <w:name w:val="标题 5（有编号）（绿盟科技）"/>
    <w:basedOn w:val="1"/>
    <w:next w:val="32"/>
    <w:autoRedefine/>
    <w:qFormat/>
    <w:uiPriority w:val="99"/>
    <w:pPr>
      <w:keepNext/>
      <w:keepLines/>
      <w:numPr>
        <w:ilvl w:val="4"/>
        <w:numId w:val="1"/>
      </w:numPr>
      <w:spacing w:before="280" w:after="156" w:line="377" w:lineRule="auto"/>
      <w:outlineLvl w:val="4"/>
    </w:pPr>
    <w:rPr>
      <w:rFonts w:eastAsia="黑体"/>
      <w:b/>
      <w:bCs/>
    </w:rPr>
  </w:style>
  <w:style w:type="paragraph" w:customStyle="1" w:styleId="32">
    <w:name w:val="正文（绿盟科技）"/>
    <w:next w:val="31"/>
    <w:autoRedefine/>
    <w:qFormat/>
    <w:uiPriority w:val="99"/>
    <w:pPr>
      <w:spacing w:line="300" w:lineRule="auto"/>
    </w:pPr>
    <w:rPr>
      <w:rFonts w:ascii="Times New Roman" w:hAnsi="Times New Roman" w:eastAsia="宋体" w:cs="Times New Roman"/>
      <w:kern w:val="0"/>
      <w:sz w:val="21"/>
      <w:szCs w:val="21"/>
      <w:lang w:val="en-US" w:eastAsia="zh-CN" w:bidi="ar-SA"/>
    </w:rPr>
  </w:style>
  <w:style w:type="character" w:customStyle="1" w:styleId="33">
    <w:name w:val="Heading 1 Char_772ce98b-0bb0-436a-9c9b-fdd8fb6ee047"/>
    <w:basedOn w:val="29"/>
    <w:link w:val="2"/>
    <w:autoRedefine/>
    <w:qFormat/>
    <w:uiPriority w:val="99"/>
    <w:rPr>
      <w:rFonts w:ascii="Calibri" w:hAnsi="Calibri" w:cs="Calibri"/>
      <w:b/>
      <w:bCs/>
      <w:kern w:val="44"/>
      <w:sz w:val="44"/>
      <w:szCs w:val="44"/>
    </w:rPr>
  </w:style>
  <w:style w:type="character" w:customStyle="1" w:styleId="34">
    <w:name w:val="Heading 2 Char_8e0bb325-c15c-43c4-ab6d-64f18b5426ee"/>
    <w:basedOn w:val="29"/>
    <w:link w:val="3"/>
    <w:autoRedefine/>
    <w:qFormat/>
    <w:uiPriority w:val="99"/>
    <w:rPr>
      <w:rFonts w:ascii="Cambria" w:hAnsi="Cambria" w:eastAsia="宋体" w:cs="Cambria"/>
      <w:b/>
      <w:bCs/>
      <w:sz w:val="32"/>
      <w:szCs w:val="32"/>
    </w:rPr>
  </w:style>
  <w:style w:type="character" w:customStyle="1" w:styleId="35">
    <w:name w:val="Heading 3 Char_cea09eb0-c7f1-442a-a302-43cdf84ff514"/>
    <w:basedOn w:val="29"/>
    <w:link w:val="4"/>
    <w:qFormat/>
    <w:uiPriority w:val="99"/>
    <w:rPr>
      <w:rFonts w:ascii="Calibri" w:hAnsi="Calibri" w:cs="Calibri"/>
      <w:b/>
      <w:bCs/>
      <w:sz w:val="32"/>
      <w:szCs w:val="32"/>
    </w:rPr>
  </w:style>
  <w:style w:type="character" w:customStyle="1" w:styleId="36">
    <w:name w:val="Document Map Char"/>
    <w:basedOn w:val="29"/>
    <w:link w:val="7"/>
    <w:autoRedefine/>
    <w:qFormat/>
    <w:uiPriority w:val="99"/>
    <w:rPr>
      <w:sz w:val="2"/>
      <w:szCs w:val="2"/>
    </w:rPr>
  </w:style>
  <w:style w:type="character" w:customStyle="1" w:styleId="37">
    <w:name w:val="Comment Text Char"/>
    <w:basedOn w:val="29"/>
    <w:link w:val="8"/>
    <w:autoRedefine/>
    <w:qFormat/>
    <w:uiPriority w:val="99"/>
    <w:rPr>
      <w:rFonts w:ascii="Calibri" w:hAnsi="Calibri" w:cs="Calibri"/>
      <w:sz w:val="21"/>
      <w:szCs w:val="21"/>
    </w:rPr>
  </w:style>
  <w:style w:type="character" w:customStyle="1" w:styleId="38">
    <w:name w:val="Body Text Char"/>
    <w:basedOn w:val="29"/>
    <w:link w:val="9"/>
    <w:autoRedefine/>
    <w:qFormat/>
    <w:uiPriority w:val="99"/>
    <w:rPr>
      <w:rFonts w:ascii="Calibri" w:hAnsi="Calibri" w:cs="Calibri"/>
      <w:sz w:val="21"/>
      <w:szCs w:val="21"/>
    </w:rPr>
  </w:style>
  <w:style w:type="character" w:customStyle="1" w:styleId="39">
    <w:name w:val="Plain Text Char"/>
    <w:basedOn w:val="29"/>
    <w:link w:val="10"/>
    <w:autoRedefine/>
    <w:qFormat/>
    <w:uiPriority w:val="99"/>
    <w:rPr>
      <w:rFonts w:ascii="宋体" w:hAnsi="Courier New" w:cs="宋体"/>
      <w:sz w:val="21"/>
      <w:szCs w:val="21"/>
    </w:rPr>
  </w:style>
  <w:style w:type="character" w:customStyle="1" w:styleId="40">
    <w:name w:val="Comment Subject Char"/>
    <w:basedOn w:val="37"/>
    <w:link w:val="11"/>
    <w:autoRedefine/>
    <w:qFormat/>
    <w:uiPriority w:val="99"/>
    <w:rPr>
      <w:b/>
      <w:bCs/>
    </w:rPr>
  </w:style>
  <w:style w:type="character" w:customStyle="1" w:styleId="41">
    <w:name w:val="Body Text Indent Char"/>
    <w:basedOn w:val="29"/>
    <w:link w:val="13"/>
    <w:autoRedefine/>
    <w:qFormat/>
    <w:uiPriority w:val="99"/>
    <w:rPr>
      <w:rFonts w:ascii="Calibri" w:hAnsi="Calibri" w:cs="Calibri"/>
      <w:sz w:val="21"/>
      <w:szCs w:val="21"/>
    </w:rPr>
  </w:style>
  <w:style w:type="character" w:customStyle="1" w:styleId="42">
    <w:name w:val="Footer Char_3636c3bb-489e-4a16-b1ac-a1b73e66d688"/>
    <w:basedOn w:val="29"/>
    <w:link w:val="14"/>
    <w:autoRedefine/>
    <w:qFormat/>
    <w:uiPriority w:val="99"/>
    <w:rPr>
      <w:rFonts w:ascii="Calibri" w:hAnsi="Calibri" w:cs="Calibri"/>
      <w:sz w:val="18"/>
      <w:szCs w:val="18"/>
    </w:rPr>
  </w:style>
  <w:style w:type="character" w:customStyle="1" w:styleId="43">
    <w:name w:val="Header Char_5b5c6a67-b9d8-463f-9f76-dfaf38cc2fb1"/>
    <w:basedOn w:val="29"/>
    <w:link w:val="15"/>
    <w:qFormat/>
    <w:uiPriority w:val="99"/>
    <w:rPr>
      <w:rFonts w:ascii="Calibri" w:hAnsi="Calibri" w:cs="Calibri"/>
      <w:sz w:val="18"/>
      <w:szCs w:val="18"/>
    </w:rPr>
  </w:style>
  <w:style w:type="character" w:customStyle="1" w:styleId="44">
    <w:name w:val="Body Text First Indent 2 Char"/>
    <w:basedOn w:val="41"/>
    <w:link w:val="19"/>
    <w:qFormat/>
    <w:uiPriority w:val="99"/>
  </w:style>
  <w:style w:type="paragraph" w:customStyle="1" w:styleId="45">
    <w:name w:val="Default"/>
    <w:autoRedefine/>
    <w:qFormat/>
    <w:uiPriority w:val="99"/>
    <w:pPr>
      <w:widowControl w:val="0"/>
      <w:autoSpaceDE w:val="0"/>
      <w:autoSpaceDN w:val="0"/>
      <w:adjustRightInd w:val="0"/>
    </w:pPr>
    <w:rPr>
      <w:rFonts w:ascii="Arial Black" w:hAnsi="Arial Black" w:eastAsia="宋体" w:cs="Arial Black"/>
      <w:color w:val="000000"/>
      <w:kern w:val="0"/>
      <w:sz w:val="24"/>
      <w:szCs w:val="24"/>
      <w:lang w:val="en-US" w:eastAsia="zh-CN" w:bidi="ar-SA"/>
    </w:rPr>
  </w:style>
  <w:style w:type="paragraph" w:customStyle="1" w:styleId="46">
    <w:name w:val="Heading #2|1"/>
    <w:basedOn w:val="1"/>
    <w:qFormat/>
    <w:uiPriority w:val="99"/>
    <w:pPr>
      <w:spacing w:before="600" w:after="500"/>
      <w:jc w:val="center"/>
      <w:outlineLvl w:val="1"/>
    </w:pPr>
    <w:rPr>
      <w:rFonts w:ascii="宋体" w:hAnsi="宋体" w:cs="宋体"/>
      <w:sz w:val="32"/>
      <w:szCs w:val="32"/>
      <w:lang w:val="zh-TW" w:eastAsia="zh-TW"/>
    </w:rPr>
  </w:style>
  <w:style w:type="paragraph" w:customStyle="1" w:styleId="47">
    <w:name w:val="Other|1"/>
    <w:basedOn w:val="1"/>
    <w:autoRedefine/>
    <w:qFormat/>
    <w:uiPriority w:val="99"/>
    <w:pPr>
      <w:spacing w:line="334" w:lineRule="auto"/>
    </w:pPr>
    <w:rPr>
      <w:rFonts w:ascii="宋体" w:hAnsi="宋体" w:cs="宋体"/>
      <w:lang w:val="zh-TW" w:eastAsia="zh-TW"/>
    </w:rPr>
  </w:style>
  <w:style w:type="paragraph" w:customStyle="1" w:styleId="48">
    <w:name w:val="Header or footer|1"/>
    <w:basedOn w:val="1"/>
    <w:autoRedefine/>
    <w:qFormat/>
    <w:uiPriority w:val="99"/>
    <w:rPr>
      <w:lang w:val="zh-TW" w:eastAsia="zh-TW"/>
    </w:rPr>
  </w:style>
  <w:style w:type="paragraph" w:customStyle="1" w:styleId="49">
    <w:name w:val="Table caption|1"/>
    <w:basedOn w:val="1"/>
    <w:autoRedefine/>
    <w:qFormat/>
    <w:uiPriority w:val="99"/>
    <w:pPr>
      <w:jc w:val="center"/>
    </w:pPr>
    <w:rPr>
      <w:rFonts w:ascii="宋体" w:hAnsi="宋体" w:cs="宋体"/>
      <w:b/>
      <w:bCs/>
      <w:sz w:val="20"/>
      <w:szCs w:val="20"/>
      <w:lang w:val="zh-TW" w:eastAsia="zh-TW"/>
    </w:rPr>
  </w:style>
  <w:style w:type="paragraph" w:customStyle="1" w:styleId="50">
    <w:name w:val="Heading #3|1"/>
    <w:basedOn w:val="1"/>
    <w:autoRedefine/>
    <w:qFormat/>
    <w:uiPriority w:val="99"/>
    <w:pPr>
      <w:spacing w:after="160"/>
      <w:outlineLvl w:val="2"/>
    </w:pPr>
    <w:rPr>
      <w:rFonts w:ascii="宋体" w:hAnsi="宋体" w:cs="宋体"/>
      <w:sz w:val="26"/>
      <w:szCs w:val="26"/>
      <w:lang w:val="zh-TW" w:eastAsia="zh-TW"/>
    </w:rPr>
  </w:style>
  <w:style w:type="paragraph" w:customStyle="1" w:styleId="51">
    <w:name w:val="Body text|1"/>
    <w:basedOn w:val="1"/>
    <w:autoRedefine/>
    <w:qFormat/>
    <w:uiPriority w:val="99"/>
    <w:pPr>
      <w:spacing w:line="334" w:lineRule="auto"/>
    </w:pPr>
    <w:rPr>
      <w:rFonts w:ascii="宋体" w:hAnsi="宋体" w:cs="宋体"/>
      <w:lang w:val="zh-TW" w:eastAsia="zh-TW"/>
    </w:rPr>
  </w:style>
  <w:style w:type="paragraph" w:customStyle="1" w:styleId="52">
    <w:name w:val="Body text|2"/>
    <w:basedOn w:val="1"/>
    <w:autoRedefine/>
    <w:qFormat/>
    <w:uiPriority w:val="99"/>
    <w:pPr>
      <w:spacing w:after="130" w:line="307" w:lineRule="exact"/>
      <w:ind w:firstLine="470"/>
    </w:pPr>
    <w:rPr>
      <w:rFonts w:ascii="宋体" w:hAnsi="宋体" w:cs="宋体"/>
      <w:sz w:val="18"/>
      <w:szCs w:val="18"/>
      <w:lang w:val="zh-TW" w:eastAsia="zh-TW"/>
    </w:rPr>
  </w:style>
  <w:style w:type="paragraph" w:customStyle="1" w:styleId="53">
    <w:name w:val="Heading #4|1"/>
    <w:basedOn w:val="1"/>
    <w:autoRedefine/>
    <w:qFormat/>
    <w:uiPriority w:val="99"/>
    <w:pPr>
      <w:spacing w:after="570"/>
      <w:jc w:val="center"/>
      <w:outlineLvl w:val="3"/>
    </w:pPr>
    <w:rPr>
      <w:rFonts w:ascii="宋体" w:hAnsi="宋体" w:cs="宋体"/>
      <w:sz w:val="32"/>
      <w:szCs w:val="32"/>
      <w:lang w:val="zh-TW" w:eastAsia="zh-TW"/>
    </w:rPr>
  </w:style>
  <w:style w:type="paragraph" w:customStyle="1" w:styleId="54">
    <w:name w:val="Body text|3"/>
    <w:basedOn w:val="1"/>
    <w:autoRedefine/>
    <w:qFormat/>
    <w:uiPriority w:val="99"/>
    <w:pPr>
      <w:spacing w:after="230"/>
      <w:jc w:val="center"/>
    </w:pPr>
    <w:rPr>
      <w:rFonts w:ascii="宋体" w:hAnsi="宋体" w:cs="宋体"/>
      <w:sz w:val="30"/>
      <w:szCs w:val="30"/>
      <w:lang w:val="zh-TW" w:eastAsia="zh-TW"/>
    </w:rPr>
  </w:style>
  <w:style w:type="paragraph" w:customStyle="1" w:styleId="55">
    <w:name w:val="Heading #5|1"/>
    <w:basedOn w:val="1"/>
    <w:autoRedefine/>
    <w:qFormat/>
    <w:uiPriority w:val="99"/>
    <w:pPr>
      <w:spacing w:after="40" w:line="385" w:lineRule="exact"/>
      <w:ind w:firstLine="280"/>
      <w:outlineLvl w:val="4"/>
    </w:pPr>
    <w:rPr>
      <w:rFonts w:ascii="宋体" w:hAnsi="宋体" w:cs="宋体"/>
      <w:sz w:val="26"/>
      <w:szCs w:val="26"/>
      <w:lang w:val="zh-TW" w:eastAsia="zh-TW"/>
    </w:rPr>
  </w:style>
  <w:style w:type="character" w:customStyle="1" w:styleId="56">
    <w:name w:val="font31"/>
    <w:basedOn w:val="29"/>
    <w:autoRedefine/>
    <w:qFormat/>
    <w:uiPriority w:val="99"/>
    <w:rPr>
      <w:rFonts w:ascii="宋体" w:hAnsi="宋体" w:eastAsia="宋体" w:cs="宋体"/>
      <w:color w:val="000000"/>
      <w:sz w:val="24"/>
      <w:szCs w:val="24"/>
      <w:u w:val="none"/>
    </w:rPr>
  </w:style>
  <w:style w:type="character" w:customStyle="1" w:styleId="57">
    <w:name w:val="font01"/>
    <w:basedOn w:val="29"/>
    <w:autoRedefine/>
    <w:qFormat/>
    <w:uiPriority w:val="99"/>
    <w:rPr>
      <w:rFonts w:ascii="Arial" w:hAnsi="Arial" w:cs="Arial"/>
      <w:color w:val="000000"/>
      <w:sz w:val="24"/>
      <w:szCs w:val="24"/>
      <w:u w:val="none"/>
    </w:rPr>
  </w:style>
  <w:style w:type="character" w:customStyle="1" w:styleId="58">
    <w:name w:val="font71"/>
    <w:basedOn w:val="29"/>
    <w:autoRedefine/>
    <w:qFormat/>
    <w:uiPriority w:val="99"/>
    <w:rPr>
      <w:rFonts w:ascii="宋体" w:hAnsi="宋体" w:eastAsia="宋体" w:cs="宋体"/>
      <w:color w:val="000000"/>
      <w:sz w:val="24"/>
      <w:szCs w:val="24"/>
      <w:u w:val="single"/>
    </w:rPr>
  </w:style>
  <w:style w:type="paragraph" w:customStyle="1" w:styleId="59">
    <w:name w:val="Normal_2"/>
    <w:autoRedefine/>
    <w:qFormat/>
    <w:uiPriority w:val="99"/>
    <w:rPr>
      <w:rFonts w:ascii="Times New Roman" w:hAnsi="Times New Roman" w:eastAsia="宋体" w:cs="Times New Roman"/>
      <w:kern w:val="0"/>
      <w:sz w:val="24"/>
      <w:szCs w:val="24"/>
      <w:lang w:val="en-US" w:eastAsia="zh-CN" w:bidi="ar-SA"/>
    </w:rPr>
  </w:style>
  <w:style w:type="paragraph" w:customStyle="1" w:styleId="60">
    <w:name w:val="一级条标题"/>
    <w:basedOn w:val="61"/>
    <w:next w:val="62"/>
    <w:autoRedefine/>
    <w:qFormat/>
    <w:uiPriority w:val="99"/>
    <w:pPr>
      <w:spacing w:line="240" w:lineRule="auto"/>
      <w:ind w:left="420"/>
      <w:outlineLvl w:val="2"/>
    </w:pPr>
  </w:style>
  <w:style w:type="paragraph" w:customStyle="1" w:styleId="61">
    <w:name w:val="章标题"/>
    <w:next w:val="1"/>
    <w:autoRedefine/>
    <w:qFormat/>
    <w:uiPriority w:val="99"/>
    <w:pPr>
      <w:spacing w:line="360" w:lineRule="auto"/>
      <w:jc w:val="both"/>
      <w:outlineLvl w:val="1"/>
    </w:pPr>
    <w:rPr>
      <w:rFonts w:ascii="黑体" w:hAnsi="Calibri" w:eastAsia="黑体" w:cs="黑体"/>
      <w:kern w:val="0"/>
      <w:sz w:val="21"/>
      <w:szCs w:val="21"/>
      <w:lang w:val="en-US" w:eastAsia="zh-CN" w:bidi="ar-SA"/>
    </w:rPr>
  </w:style>
  <w:style w:type="paragraph" w:customStyle="1" w:styleId="62">
    <w:name w:val="段"/>
    <w:next w:val="1"/>
    <w:autoRedefine/>
    <w:qFormat/>
    <w:uiPriority w:val="99"/>
    <w:pPr>
      <w:autoSpaceDE w:val="0"/>
      <w:autoSpaceDN w:val="0"/>
      <w:ind w:firstLine="200" w:firstLineChars="200"/>
      <w:jc w:val="both"/>
    </w:pPr>
    <w:rPr>
      <w:rFonts w:ascii="宋体" w:hAnsi="Calibri" w:eastAsia="宋体" w:cs="宋体"/>
      <w:kern w:val="0"/>
      <w:sz w:val="21"/>
      <w:szCs w:val="21"/>
      <w:lang w:val="en-US" w:eastAsia="zh-CN" w:bidi="ar-SA"/>
    </w:rPr>
  </w:style>
  <w:style w:type="paragraph" w:customStyle="1" w:styleId="63">
    <w:name w:val="正文_13"/>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64">
    <w:name w:val="正文_5"/>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65">
    <w:name w:val="无间隔1"/>
    <w:autoRedefine/>
    <w:qFormat/>
    <w:uiPriority w:val="99"/>
    <w:pPr>
      <w:widowControl w:val="0"/>
      <w:spacing w:line="360" w:lineRule="auto"/>
      <w:jc w:val="both"/>
    </w:pPr>
    <w:rPr>
      <w:rFonts w:ascii="Arial" w:hAnsi="Arial" w:eastAsia="宋体" w:cs="Arial"/>
      <w:kern w:val="2"/>
      <w:sz w:val="24"/>
      <w:szCs w:val="24"/>
      <w:lang w:val="en-US" w:eastAsia="zh-CN" w:bidi="ar-SA"/>
    </w:rPr>
  </w:style>
  <w:style w:type="paragraph" w:customStyle="1" w:styleId="66">
    <w:name w:val="正文文本 21"/>
    <w:basedOn w:val="1"/>
    <w:autoRedefine/>
    <w:qFormat/>
    <w:uiPriority w:val="99"/>
  </w:style>
  <w:style w:type="paragraph" w:customStyle="1" w:styleId="67">
    <w:name w:val="样式 (中文) 仿宋_GB2312 小三 非加粗 首行缩进:  1.06 厘米 段前: 5 磅 段后: 5 磅 行距..."/>
    <w:basedOn w:val="1"/>
    <w:autoRedefine/>
    <w:qFormat/>
    <w:uiPriority w:val="99"/>
    <w:pPr>
      <w:spacing w:line="360" w:lineRule="auto"/>
      <w:ind w:firstLine="601" w:firstLineChars="200"/>
    </w:pPr>
    <w:rPr>
      <w:rFonts w:ascii="Times New Roman" w:hAnsi="Times New Roman" w:eastAsia="仿宋_GB2312" w:cs="Times New Roman"/>
      <w:sz w:val="30"/>
      <w:szCs w:val="30"/>
    </w:rPr>
  </w:style>
  <w:style w:type="paragraph" w:styleId="6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67</Pages>
  <Words>2796</Words>
  <Characters>3128</Characters>
  <Paragraphs>1842</Paragraphs>
  <TotalTime>40</TotalTime>
  <ScaleCrop>false</ScaleCrop>
  <LinksUpToDate>false</LinksUpToDate>
  <CharactersWithSpaces>3318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2024-04-22T03:34:00Z</dcterms:created>
  <dc:creator>太子弹琴</dc:creator>
  <cp:lastModifiedBy>Administrator</cp:lastModifiedBy>
  <cp:lastPrinted>2024-12-04T07:57:00Z</cp:lastPrinted>
  <dcterms:modified xsi:type="dcterms:W3CDTF">2025-01-14T09:47:48Z</dcterms:modified>
  <dc:title>海东市第二人民医院绿化养护服务项目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BC04AD5758074606BA62889FB74FA2F8_13</vt:lpwstr>
  </property>
  <property fmtid="{D5CDD505-2E9C-101B-9397-08002B2CF9AE}" pid="4" name="KSOTemplateDocerSaveRecord">
    <vt:lpwstr>eyJoZGlkIjoiNzk1YWNkYzYxYTMxZDIyMTYxNzhiZTYyYzVkZDA3YTIiLCJ1c2VySWQiOiIyODE5ODMzMjUifQ==</vt:lpwstr>
  </property>
</Properties>
</file>