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E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0C0F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9EF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B8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1BBC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31F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3E5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C03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202A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52D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71FD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B91B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09A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32C1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2BE3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9C2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2D7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263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B867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9234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E0E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195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B51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533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821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E83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934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B3D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7AD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1649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615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A35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580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E2E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06A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52CF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33B0C8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2024-12-18T11:37:48Z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10BAC199E2114C6FB011AF2A996ADDBF_13</vt:lpwstr>
  </property>
</Properties>
</file>