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sz w:val="32"/>
          <w:szCs w:val="32"/>
          <w:highlight w:val="none"/>
          <w:lang w:val="en-US" w:eastAsia="zh-CN"/>
        </w:rPr>
      </w:pPr>
      <w:bookmarkStart w:id="5" w:name="_GoBack"/>
      <w:bookmarkEnd w:id="5"/>
      <w:r>
        <w:rPr>
          <w:rFonts w:hint="eastAsia" w:ascii="仿宋_GB2312" w:hAnsi="仿宋_GB2312" w:eastAsia="仿宋_GB2312" w:cs="仿宋_GB2312"/>
          <w:b/>
          <w:bCs/>
          <w:sz w:val="32"/>
          <w:szCs w:val="32"/>
          <w:highlight w:val="none"/>
          <w:lang w:val="en-US" w:eastAsia="zh-CN"/>
        </w:rPr>
        <w:t>附件1</w:t>
      </w:r>
    </w:p>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2024年黄河公司“揭榜挂帅”</w:t>
      </w:r>
    </w:p>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科研项目攻关榜单（二次）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为贯彻落实“十四五”发展规划，以开放创新的形式，积极探索</w:t>
      </w:r>
      <w:r>
        <w:rPr>
          <w:rFonts w:hint="eastAsia" w:ascii="仿宋_GB2312" w:hAnsi="仿宋_GB2312" w:eastAsia="仿宋_GB2312" w:cs="仿宋_GB2312"/>
          <w:sz w:val="32"/>
          <w:szCs w:val="32"/>
          <w:highlight w:val="none"/>
          <w:lang w:val="en-US" w:eastAsia="zh-CN"/>
        </w:rPr>
        <w:t>科技创新，</w:t>
      </w:r>
      <w:r>
        <w:rPr>
          <w:rFonts w:hint="eastAsia" w:ascii="仿宋_GB2312" w:hAnsi="仿宋_GB2312" w:eastAsia="仿宋_GB2312" w:cs="仿宋_GB2312"/>
          <w:sz w:val="32"/>
          <w:szCs w:val="32"/>
          <w:highlight w:val="none"/>
        </w:rPr>
        <w:t>最大程度地调动社会各界智力潜能，</w:t>
      </w:r>
      <w:r>
        <w:rPr>
          <w:rFonts w:hint="eastAsia" w:ascii="仿宋_GB2312" w:hAnsi="仿宋_GB2312" w:eastAsia="仿宋_GB2312" w:cs="仿宋_GB2312"/>
          <w:sz w:val="32"/>
          <w:szCs w:val="32"/>
          <w:highlight w:val="none"/>
          <w:lang w:val="en-US" w:eastAsia="zh-CN"/>
        </w:rPr>
        <w:t>突破制约各领域关键核心技术，以</w:t>
      </w:r>
      <w:r>
        <w:rPr>
          <w:rFonts w:hint="eastAsia" w:ascii="仿宋_GB2312" w:hAnsi="仿宋_GB2312" w:eastAsia="仿宋_GB2312" w:cs="仿宋_GB2312"/>
          <w:sz w:val="32"/>
          <w:szCs w:val="32"/>
          <w:highlight w:val="none"/>
        </w:rPr>
        <w:t>最快的速度找到切实可行的解决方案。</w:t>
      </w:r>
      <w:r>
        <w:rPr>
          <w:rFonts w:hint="eastAsia" w:ascii="仿宋_GB2312" w:hAnsi="仿宋_GB2312" w:eastAsia="仿宋_GB2312" w:cs="仿宋_GB2312"/>
          <w:sz w:val="32"/>
          <w:szCs w:val="32"/>
          <w:highlight w:val="none"/>
          <w:lang w:val="en-US" w:eastAsia="zh-CN"/>
        </w:rPr>
        <w:t>青海黄河上游水电开发有限责任公司拟采用</w:t>
      </w:r>
      <w:r>
        <w:rPr>
          <w:rFonts w:hint="eastAsia" w:ascii="仿宋_GB2312" w:hAnsi="仿宋_GB2312" w:eastAsia="仿宋_GB2312" w:cs="仿宋_GB2312"/>
          <w:sz w:val="32"/>
          <w:szCs w:val="32"/>
          <w:highlight w:val="none"/>
        </w:rPr>
        <w:t>“揭榜挂帅”机制开展</w:t>
      </w:r>
      <w:r>
        <w:rPr>
          <w:rFonts w:hint="eastAsia" w:ascii="仿宋_GB2312" w:hAnsi="仿宋_GB2312" w:eastAsia="仿宋_GB2312" w:cs="仿宋_GB2312"/>
          <w:sz w:val="32"/>
          <w:szCs w:val="32"/>
          <w:highlight w:val="none"/>
          <w:lang w:val="en-US" w:eastAsia="zh-CN"/>
        </w:rPr>
        <w:t>相关课题的研究</w:t>
      </w:r>
      <w:r>
        <w:rPr>
          <w:rFonts w:hint="eastAsia" w:ascii="仿宋_GB2312" w:hAnsi="仿宋_GB2312" w:eastAsia="仿宋_GB2312" w:cs="仿宋_GB2312"/>
          <w:sz w:val="32"/>
          <w:szCs w:val="32"/>
          <w:highlight w:val="none"/>
        </w:rPr>
        <w:t>，现将</w:t>
      </w:r>
      <w:r>
        <w:rPr>
          <w:rFonts w:hint="eastAsia" w:ascii="仿宋_GB2312" w:hAnsi="仿宋_GB2312" w:eastAsia="仿宋_GB2312" w:cs="仿宋_GB2312"/>
          <w:sz w:val="32"/>
          <w:szCs w:val="32"/>
          <w:highlight w:val="none"/>
          <w:lang w:val="en-US" w:eastAsia="zh-CN"/>
        </w:rPr>
        <w:t>本次</w:t>
      </w:r>
      <w:r>
        <w:rPr>
          <w:rFonts w:hint="eastAsia" w:ascii="仿宋_GB2312" w:hAnsi="仿宋_GB2312" w:eastAsia="仿宋_GB2312" w:cs="仿宋_GB2312"/>
          <w:sz w:val="32"/>
          <w:szCs w:val="32"/>
          <w:highlight w:val="none"/>
        </w:rPr>
        <w:t>攻关项目榜单予以发布</w:t>
      </w:r>
      <w:r>
        <w:rPr>
          <w:rFonts w:hint="eastAsia" w:ascii="仿宋_GB2312" w:hAnsi="仿宋_GB2312" w:eastAsia="仿宋_GB2312" w:cs="仿宋_GB2312"/>
          <w:sz w:val="32"/>
          <w:szCs w:val="32"/>
        </w:rPr>
        <w:t>。</w:t>
      </w:r>
    </w:p>
    <w:p>
      <w:pPr>
        <w:jc w:val="center"/>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榜单清单</w:t>
      </w:r>
    </w:p>
    <w:tbl>
      <w:tblPr>
        <w:tblStyle w:val="15"/>
        <w:tblW w:w="9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3006"/>
        <w:gridCol w:w="1200"/>
        <w:gridCol w:w="2715"/>
        <w:gridCol w:w="102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榜单名称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经费预算（万元）</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攻关期限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页码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bookmarkStart w:id="0" w:name="_Hlk157011335"/>
            <w:r>
              <w:rPr>
                <w:rFonts w:hint="eastAsia" w:ascii="宋体" w:hAnsi="宋体" w:eastAsia="宋体" w:cs="宋体"/>
                <w:i w:val="0"/>
                <w:iCs w:val="0"/>
                <w:color w:val="auto"/>
                <w:sz w:val="21"/>
                <w:szCs w:val="21"/>
                <w:u w:val="none"/>
              </w:rPr>
              <w:t>大面积钙钛矿光伏组件关键技术研究</w:t>
            </w:r>
            <w:bookmarkEnd w:id="0"/>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260</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合同签订后-2025年3月</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二次发榜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络合精馏分离三氯氢硅中硼磷杂质实验研究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60.5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签订合同后-202</w:t>
            </w:r>
            <w:r>
              <w:rPr>
                <w:rFonts w:hint="eastAsia" w:ascii="宋体" w:hAnsi="宋体" w:eastAsia="宋体" w:cs="宋体"/>
                <w:i w:val="0"/>
                <w:iCs w:val="0"/>
                <w:color w:val="auto"/>
                <w:sz w:val="21"/>
                <w:szCs w:val="21"/>
                <w:u w:val="none"/>
                <w:lang w:val="en-US" w:eastAsia="zh-CN"/>
              </w:rPr>
              <w:t>4</w:t>
            </w:r>
            <w:r>
              <w:rPr>
                <w:rFonts w:hint="eastAsia" w:ascii="宋体" w:hAnsi="宋体" w:eastAsia="宋体" w:cs="宋体"/>
                <w:i w:val="0"/>
                <w:iCs w:val="0"/>
                <w:color w:val="auto"/>
                <w:sz w:val="21"/>
                <w:szCs w:val="21"/>
                <w:u w:val="none"/>
              </w:rPr>
              <w:t>年</w:t>
            </w:r>
            <w:r>
              <w:rPr>
                <w:rFonts w:hint="eastAsia" w:ascii="宋体" w:hAnsi="宋体" w:eastAsia="宋体" w:cs="宋体"/>
                <w:i w:val="0"/>
                <w:iCs w:val="0"/>
                <w:color w:val="auto"/>
                <w:sz w:val="21"/>
                <w:szCs w:val="21"/>
                <w:u w:val="none"/>
                <w:lang w:val="en-US" w:eastAsia="zh-CN"/>
              </w:rPr>
              <w:t>11</w:t>
            </w:r>
            <w:r>
              <w:rPr>
                <w:rFonts w:hint="eastAsia" w:ascii="宋体" w:hAnsi="宋体" w:eastAsia="宋体" w:cs="宋体"/>
                <w:i w:val="0"/>
                <w:iCs w:val="0"/>
                <w:color w:val="auto"/>
                <w:sz w:val="21"/>
                <w:szCs w:val="21"/>
                <w:u w:val="none"/>
              </w:rPr>
              <w:t>月</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二次发榜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硅芯焊接技术应用研究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80</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签订合同后-202</w:t>
            </w:r>
            <w:r>
              <w:rPr>
                <w:rFonts w:hint="eastAsia" w:ascii="宋体" w:hAnsi="宋体" w:eastAsia="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年</w:t>
            </w:r>
            <w:r>
              <w:rPr>
                <w:rFonts w:hint="eastAsia" w:ascii="宋体" w:hAnsi="宋体" w:eastAsia="宋体" w:cs="宋体"/>
                <w:i w:val="0"/>
                <w:iCs w:val="0"/>
                <w:color w:val="auto"/>
                <w:sz w:val="21"/>
                <w:szCs w:val="21"/>
                <w:u w:val="none"/>
                <w:lang w:val="en-US" w:eastAsia="zh-CN"/>
              </w:rPr>
              <w:t>2</w:t>
            </w:r>
            <w:r>
              <w:rPr>
                <w:rFonts w:hint="eastAsia" w:ascii="宋体" w:hAnsi="宋体" w:eastAsia="宋体" w:cs="宋体"/>
                <w:i w:val="0"/>
                <w:iCs w:val="0"/>
                <w:color w:val="auto"/>
                <w:sz w:val="21"/>
                <w:szCs w:val="21"/>
                <w:u w:val="none"/>
              </w:rPr>
              <w:t>月</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二次发榜</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napToGrid w:val="0"/>
        <w:spacing w:after="0" w:line="560" w:lineRule="exact"/>
        <w:ind w:firstLine="643" w:firstLineChars="200"/>
        <w:jc w:val="left"/>
        <w:rPr>
          <w:rFonts w:hint="eastAsia" w:ascii="黑体" w:hAnsi="黑体" w:eastAsia="黑体" w:cs="黑体"/>
          <w:b/>
          <w:bCs w:val="0"/>
          <w:sz w:val="32"/>
          <w:szCs w:val="32"/>
        </w:rPr>
      </w:pPr>
      <w:r>
        <w:rPr>
          <w:rFonts w:hint="eastAsia" w:ascii="黑体" w:hAnsi="黑体" w:eastAsia="黑体" w:cs="黑体"/>
          <w:b/>
          <w:bCs w:val="0"/>
          <w:kern w:val="0"/>
          <w:sz w:val="32"/>
          <w:szCs w:val="32"/>
          <w:highlight w:val="none"/>
          <w:lang w:val="en-US" w:eastAsia="zh-CN" w:bidi="ar"/>
        </w:rPr>
        <w:t>项目1：</w:t>
      </w:r>
      <w:r>
        <w:rPr>
          <w:rFonts w:hint="eastAsia" w:ascii="黑体" w:hAnsi="黑体" w:eastAsia="黑体" w:cs="黑体"/>
          <w:b/>
          <w:bCs w:val="0"/>
          <w:sz w:val="32"/>
          <w:szCs w:val="32"/>
        </w:rPr>
        <w:t>大面积钙钛矿光伏组件关键技术研究</w:t>
      </w:r>
    </w:p>
    <w:p>
      <w:pPr>
        <w:pStyle w:val="6"/>
        <w:rPr>
          <w:rFonts w:hint="eastAsia"/>
          <w:lang w:val="en-US" w:eastAsia="zh-CN"/>
        </w:rPr>
      </w:pPr>
    </w:p>
    <w:p>
      <w:pPr>
        <w:pStyle w:val="2"/>
        <w:numPr>
          <w:ilvl w:val="0"/>
          <w:numId w:val="0"/>
        </w:numPr>
        <w:spacing w:line="360" w:lineRule="auto"/>
        <w:ind w:firstLine="643" w:firstLineChars="200"/>
        <w:rPr>
          <w:rFonts w:hint="eastAsia" w:ascii="仿宋_GB2312" w:hAnsi="仿宋_GB2312" w:eastAsia="仿宋_GB2312" w:cs="仿宋_GB2312"/>
          <w:b/>
          <w:bCs/>
          <w:color w:val="FF0000"/>
          <w:szCs w:val="21"/>
        </w:rPr>
      </w:pPr>
      <w:r>
        <w:rPr>
          <w:rFonts w:hint="eastAsia" w:ascii="仿宋_GB2312" w:hAnsi="仿宋_GB2312" w:eastAsia="仿宋_GB2312" w:cs="仿宋_GB2312"/>
          <w:b/>
          <w:bCs/>
          <w:sz w:val="32"/>
          <w:szCs w:val="32"/>
        </w:rPr>
        <w:t>一、攻关难题和攻关内容</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val="en-US" w:eastAsia="zh-Hans"/>
        </w:rPr>
        <w:t>攻关难题</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大面积钙钛矿光伏组件效率偏低和稳定性问题是阻碍其产业化推广的两个关键因素，针对此问题，项目开展可重复的大面积高效率稳定的钙钛矿组件制备技术的研究，具体包括：大面积均匀、可重复、可规模化生产的传输层和钙钛矿吸收层制备技术；可拓展至平米级别的组件低温封装技术</w:t>
      </w:r>
      <w:r>
        <w:rPr>
          <w:rFonts w:ascii="仿宋_GB2312" w:hAnsi="仿宋_GB2312" w:eastAsia="仿宋_GB2312" w:cs="仿宋_GB2312"/>
          <w:b w:val="0"/>
          <w:sz w:val="32"/>
          <w:szCs w:val="32"/>
        </w:rPr>
        <w:t>。</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val="en-US" w:eastAsia="zh-Hans"/>
        </w:rPr>
        <w:t>攻关内容</w:t>
      </w:r>
    </w:p>
    <w:p>
      <w:pPr>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）开发大面积N</w:t>
      </w:r>
      <w:r>
        <w:rPr>
          <w:rFonts w:ascii="仿宋_GB2312" w:hAnsi="仿宋_GB2312" w:eastAsia="仿宋_GB2312" w:cs="仿宋_GB2312"/>
          <w:sz w:val="32"/>
          <w:szCs w:val="32"/>
        </w:rPr>
        <w:t>iOx</w:t>
      </w:r>
      <w:r>
        <w:rPr>
          <w:rFonts w:hint="eastAsia" w:ascii="仿宋_GB2312" w:hAnsi="仿宋_GB2312" w:eastAsia="仿宋_GB2312" w:cs="仿宋_GB2312"/>
          <w:sz w:val="32"/>
          <w:szCs w:val="32"/>
        </w:rPr>
        <w:t>空穴传输层的低温制备技术；开发新型的钙钛矿前驱体溶液体系，实现高性能、宽工艺窗口的大面积钙钛矿层制备工艺；透明电极制备工艺的开发，半透明钙钛矿组件P1</w:t>
      </w:r>
      <w:r>
        <w:rPr>
          <w:rFonts w:ascii="仿宋_GB2312" w:hAnsi="仿宋_GB2312" w:eastAsia="仿宋_GB2312" w:cs="仿宋_GB2312"/>
          <w:sz w:val="32"/>
          <w:szCs w:val="32"/>
        </w:rPr>
        <w:t>-P4</w:t>
      </w:r>
      <w:r>
        <w:rPr>
          <w:rFonts w:hint="eastAsia" w:ascii="仿宋_GB2312" w:hAnsi="仿宋_GB2312" w:eastAsia="仿宋_GB2312" w:cs="仿宋_GB2312"/>
          <w:sz w:val="32"/>
          <w:szCs w:val="32"/>
        </w:rPr>
        <w:t>激光工艺开发和图案设计。</w:t>
      </w:r>
    </w:p>
    <w:p>
      <w:pPr>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）分析组件的衰减机制，结合钙钛矿材料的添加剂工程和新型封装技术，提升组件的工作稳定性。</w:t>
      </w:r>
    </w:p>
    <w:p>
      <w:pPr>
        <w:spacing w:after="0" w:line="360" w:lineRule="auto"/>
        <w:ind w:firstLine="640" w:firstLineChars="200"/>
        <w:rPr>
          <w:rFonts w:hint="default" w:ascii="仿宋_GB2312" w:hAnsi="仿宋_GB2312" w:eastAsia="仿宋_GB2312" w:cs="仿宋_GB2312"/>
          <w:b w:val="0"/>
          <w:sz w:val="32"/>
          <w:szCs w:val="32"/>
          <w:lang w:val="en-US" w:eastAsia="zh-Hans"/>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开展大面积钙钛矿光伏组件工艺整合，最终实现高效率稳定的大面积钙钛矿光伏组件工艺制备方案。</w:t>
      </w:r>
      <w:r>
        <w:rPr>
          <w:rFonts w:ascii="仿宋_GB2312" w:hAnsi="仿宋_GB2312" w:eastAsia="仿宋_GB2312" w:cs="仿宋_GB2312"/>
          <w:sz w:val="32"/>
          <w:szCs w:val="32"/>
        </w:rPr>
        <w:t>对</w:t>
      </w:r>
      <w:r>
        <w:rPr>
          <w:rFonts w:hint="eastAsia" w:ascii="仿宋_GB2312" w:hAnsi="仿宋_GB2312" w:eastAsia="仿宋_GB2312" w:cs="仿宋_GB2312"/>
          <w:sz w:val="32"/>
          <w:szCs w:val="32"/>
        </w:rPr>
        <w:t>大面积钙钛矿光伏组件</w:t>
      </w:r>
      <w:r>
        <w:rPr>
          <w:rFonts w:ascii="仿宋_GB2312" w:hAnsi="仿宋_GB2312" w:eastAsia="仿宋_GB2312" w:cs="仿宋_GB2312"/>
          <w:sz w:val="32"/>
          <w:szCs w:val="32"/>
        </w:rPr>
        <w:t>制备整套工艺方案进行验证，完成产品可靠性及性能测试。</w:t>
      </w:r>
    </w:p>
    <w:p>
      <w:pPr>
        <w:pStyle w:val="2"/>
        <w:numPr>
          <w:ilvl w:val="0"/>
          <w:numId w:val="0"/>
        </w:num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二、攻关后希望达到的预期目标、技术指标、预期成果</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（一）预期目标</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（1）通过工艺开发研究，形成一套可推广的高效率稳定的大面积钙钛矿光伏组件的制备工艺及方案，形成技术研究和工艺开发报告。</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（2）完成效率≥22.5%的大面积（≥30cm×30cm)钙钛矿组件样品的制备；完成效率≥27%的大面积（≥10cm×10cm)钙钛矿/晶硅四端叠层电池样品的制备。</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（二）技术指标</w:t>
      </w:r>
    </w:p>
    <w:p>
      <w:pPr>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）大面积（≥</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cm×</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cm)单结钙钛矿组件效率≥2</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w:t>
      </w:r>
    </w:p>
    <w:p>
      <w:pPr>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（2）大面积（≥</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cm×</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cm)钙钛矿/晶硅四端叠层组件效率≥2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p>
    <w:p>
      <w:pPr>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以上技术指标（1）和（2）需要提供第三方测试机构出具的报告。</w:t>
      </w:r>
    </w:p>
    <w:p>
      <w:pPr>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）封装后大面积（≥</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cm×</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cm)单结钙钛矿组件的稳定性和可靠性</w:t>
      </w:r>
      <w:r>
        <w:rPr>
          <w:rFonts w:ascii="仿宋_GB2312" w:hAnsi="仿宋_GB2312" w:eastAsia="仿宋_GB2312" w:cs="仿宋_GB2312"/>
          <w:sz w:val="32"/>
          <w:szCs w:val="32"/>
        </w:rPr>
        <w:t>通过DH1000、TC200、HF10和UV15kWh</w:t>
      </w:r>
      <w:r>
        <w:rPr>
          <w:rFonts w:hint="eastAsia" w:ascii="仿宋_GB2312" w:hAnsi="仿宋_GB2312" w:eastAsia="仿宋_GB2312" w:cs="仿宋_GB2312"/>
          <w:sz w:val="32"/>
          <w:szCs w:val="32"/>
        </w:rPr>
        <w:t>的测试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单项测试后组件效率衰减不高于5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，衰减后组件光电转换效率大于</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。在AM</w:t>
      </w:r>
      <w:r>
        <w:rPr>
          <w:rFonts w:ascii="仿宋_GB2312" w:hAnsi="仿宋_GB2312" w:eastAsia="仿宋_GB2312" w:cs="仿宋_GB2312"/>
          <w:sz w:val="32"/>
          <w:szCs w:val="32"/>
        </w:rPr>
        <w:t>1.5G</w:t>
      </w:r>
      <w:r>
        <w:rPr>
          <w:rFonts w:hint="eastAsia" w:ascii="仿宋_GB2312" w:hAnsi="仿宋_GB2312" w:eastAsia="仿宋_GB2312" w:cs="仿宋_GB2312"/>
          <w:sz w:val="32"/>
          <w:szCs w:val="32"/>
        </w:rPr>
        <w:t>模拟太阳光条件下持续最大功率点持续输出1</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h后，组件效率衰减不高于5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。以上技术指标需要提供第三方测试机构出具的报告。</w:t>
      </w:r>
    </w:p>
    <w:p>
      <w:pPr>
        <w:spacing w:after="0" w:line="360" w:lineRule="auto"/>
        <w:ind w:firstLine="640" w:firstLineChars="200"/>
        <w:rPr>
          <w:rFonts w:hint="eastAsia"/>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）揭榜方在发榜方实验室开展实验时间每季度不少于1周，保证揭榜方提供的制备工艺及方案可以实施，保证在发榜方实验室的条件基础上制备的10cm*10cm面积的单结钙钛矿组件效率达到22%。</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（三）预期成果</w:t>
      </w:r>
    </w:p>
    <w:p>
      <w:pPr>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）形成一套可推广的大面积钙钛矿组件的制备工艺及方案。</w:t>
      </w:r>
    </w:p>
    <w:p>
      <w:pPr>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）揭榜方完成至少</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项发明专利的申报，第一发明单位为</w:t>
      </w:r>
      <w:bookmarkStart w:id="1" w:name="_Hlk157107467"/>
      <w:r>
        <w:rPr>
          <w:rFonts w:hint="eastAsia" w:ascii="仿宋_GB2312" w:hAnsi="仿宋_GB2312" w:eastAsia="仿宋_GB2312" w:cs="仿宋_GB2312"/>
          <w:sz w:val="32"/>
          <w:szCs w:val="32"/>
        </w:rPr>
        <w:t>青海黄河上游水电开发有限责任公司西安太阳能电力分公司</w:t>
      </w:r>
      <w:bookmarkEnd w:id="1"/>
      <w:r>
        <w:rPr>
          <w:rFonts w:hint="eastAsia" w:ascii="仿宋_GB2312" w:hAnsi="仿宋_GB2312" w:eastAsia="仿宋_GB2312" w:cs="仿宋_GB2312"/>
          <w:sz w:val="32"/>
          <w:szCs w:val="32"/>
        </w:rPr>
        <w:t>，研发项目的知识产权归属为发榜方和揭榜方双方各占5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。联合完成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篇SCI论文的撰写和发表，第一作者单位为青海黄河上游水电开发有限责任公司西安太阳能电力分公司。</w:t>
      </w:r>
    </w:p>
    <w:p>
      <w:pPr>
        <w:pStyle w:val="2"/>
        <w:numPr>
          <w:ilvl w:val="0"/>
          <w:numId w:val="0"/>
        </w:numPr>
        <w:spacing w:line="360" w:lineRule="auto"/>
        <w:ind w:firstLine="643" w:firstLineChars="200"/>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三、对揭榜方要求</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eastAsia="zh-Hans"/>
        </w:rPr>
      </w:pPr>
      <w:r>
        <w:rPr>
          <w:rFonts w:hint="eastAsia" w:ascii="仿宋_GB2312" w:hAnsi="仿宋_GB2312" w:eastAsia="仿宋_GB2312" w:cs="仿宋_GB2312"/>
          <w:b w:val="0"/>
          <w:sz w:val="32"/>
          <w:szCs w:val="32"/>
          <w:lang w:eastAsia="zh-Hans"/>
        </w:rPr>
        <w:t>（</w:t>
      </w:r>
      <w:r>
        <w:rPr>
          <w:rFonts w:hint="eastAsia" w:ascii="仿宋_GB2312" w:hAnsi="仿宋_GB2312" w:eastAsia="仿宋_GB2312" w:cs="仿宋_GB2312"/>
          <w:b w:val="0"/>
          <w:sz w:val="32"/>
          <w:szCs w:val="32"/>
          <w:lang w:val="en-US" w:eastAsia="zh-Hans"/>
        </w:rPr>
        <w:t>一</w:t>
      </w:r>
      <w:r>
        <w:rPr>
          <w:rFonts w:hint="eastAsia" w:ascii="仿宋_GB2312" w:hAnsi="仿宋_GB2312" w:eastAsia="仿宋_GB2312" w:cs="仿宋_GB2312"/>
          <w:b w:val="0"/>
          <w:sz w:val="32"/>
          <w:szCs w:val="32"/>
          <w:lang w:eastAsia="zh-Hans"/>
        </w:rPr>
        <w:t>）</w:t>
      </w:r>
      <w:r>
        <w:rPr>
          <w:rFonts w:hint="default" w:ascii="仿宋_GB2312" w:hAnsi="仿宋_GB2312" w:eastAsia="仿宋_GB2312" w:cs="仿宋_GB2312"/>
          <w:b w:val="0"/>
          <w:sz w:val="32"/>
          <w:szCs w:val="32"/>
        </w:rPr>
        <w:t>揭榜方基本要求</w:t>
      </w:r>
    </w:p>
    <w:p>
      <w:pPr>
        <w:widowControl/>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揭榜方必须是在中华人民共和国市场监督管理部门注册的，具有独立法人和一般纳税人资格的企业（高校、科研院所）；应具有良好的企业信用，揭榜方</w:t>
      </w:r>
      <w:r>
        <w:rPr>
          <w:rFonts w:ascii="仿宋_GB2312" w:hAnsi="仿宋_GB2312" w:eastAsia="仿宋_GB2312" w:cs="仿宋_GB2312"/>
          <w:sz w:val="32"/>
          <w:szCs w:val="32"/>
        </w:rPr>
        <w:t>应具有良好的学术和商业信誉</w:t>
      </w:r>
      <w:r>
        <w:rPr>
          <w:rFonts w:hint="eastAsia" w:ascii="仿宋_GB2312" w:hAnsi="仿宋_GB2312" w:eastAsia="仿宋_GB2312" w:cs="仿宋_GB2312"/>
          <w:sz w:val="32"/>
          <w:szCs w:val="32"/>
        </w:rPr>
        <w:t>，不存在被列为失信被执行人的情形；近三年资信状况良好，没有财产被接管、冻结或处于破产状态，应提相关证明（如财务审计报告或报表、资信证明等）。</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eastAsia="zh-Hans"/>
        </w:rPr>
      </w:pPr>
      <w:r>
        <w:rPr>
          <w:rFonts w:hint="eastAsia" w:ascii="仿宋_GB2312" w:hAnsi="仿宋_GB2312" w:eastAsia="仿宋_GB2312" w:cs="仿宋_GB2312"/>
          <w:b w:val="0"/>
          <w:sz w:val="32"/>
          <w:szCs w:val="32"/>
          <w:lang w:eastAsia="zh-Hans"/>
        </w:rPr>
        <w:t>（</w:t>
      </w:r>
      <w:r>
        <w:rPr>
          <w:rFonts w:hint="eastAsia" w:ascii="仿宋_GB2312" w:hAnsi="仿宋_GB2312" w:eastAsia="仿宋_GB2312" w:cs="仿宋_GB2312"/>
          <w:b w:val="0"/>
          <w:sz w:val="32"/>
          <w:szCs w:val="32"/>
          <w:lang w:val="en-US" w:eastAsia="zh-Hans"/>
        </w:rPr>
        <w:t>二</w:t>
      </w:r>
      <w:r>
        <w:rPr>
          <w:rFonts w:hint="eastAsia" w:ascii="仿宋_GB2312" w:hAnsi="仿宋_GB2312" w:eastAsia="仿宋_GB2312" w:cs="仿宋_GB2312"/>
          <w:b w:val="0"/>
          <w:sz w:val="32"/>
          <w:szCs w:val="32"/>
          <w:lang w:eastAsia="zh-Hans"/>
        </w:rPr>
        <w:t>）</w:t>
      </w:r>
      <w:r>
        <w:rPr>
          <w:rFonts w:hint="default" w:ascii="仿宋_GB2312" w:hAnsi="仿宋_GB2312" w:eastAsia="仿宋_GB2312" w:cs="仿宋_GB2312"/>
          <w:b w:val="0"/>
          <w:sz w:val="32"/>
          <w:szCs w:val="32"/>
        </w:rPr>
        <w:t>揭榜方</w:t>
      </w:r>
      <w:r>
        <w:rPr>
          <w:rFonts w:hint="eastAsia" w:ascii="仿宋_GB2312" w:hAnsi="仿宋_GB2312" w:eastAsia="仿宋_GB2312" w:cs="仿宋_GB2312"/>
          <w:b w:val="0"/>
          <w:sz w:val="32"/>
          <w:szCs w:val="32"/>
          <w:lang w:val="en-US" w:eastAsia="zh-Hans"/>
        </w:rPr>
        <w:t>技术</w:t>
      </w:r>
      <w:r>
        <w:rPr>
          <w:rFonts w:hint="default" w:ascii="仿宋_GB2312" w:hAnsi="仿宋_GB2312" w:eastAsia="仿宋_GB2312" w:cs="仿宋_GB2312"/>
          <w:b w:val="0"/>
          <w:sz w:val="32"/>
          <w:szCs w:val="32"/>
        </w:rPr>
        <w:t>要求</w:t>
      </w:r>
    </w:p>
    <w:p>
      <w:pPr>
        <w:pStyle w:val="12"/>
        <w:spacing w:before="0" w:beforeAutospacing="0" w:after="0" w:afterAutospacing="0"/>
        <w:ind w:firstLine="480" w:firstLineChars="15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kern w:val="2"/>
          <w:sz w:val="32"/>
          <w:szCs w:val="32"/>
        </w:rPr>
        <w:t>揭榜方在钙钛矿太阳能</w:t>
      </w:r>
      <w:r>
        <w:rPr>
          <w:rFonts w:hint="eastAsia" w:ascii="仿宋_GB2312" w:hAnsi="仿宋_GB2312" w:eastAsia="仿宋_GB2312" w:cs="仿宋_GB2312"/>
          <w:kern w:val="2"/>
          <w:sz w:val="32"/>
          <w:szCs w:val="32"/>
        </w:rPr>
        <w:t>组件</w:t>
      </w:r>
      <w:r>
        <w:rPr>
          <w:rFonts w:ascii="仿宋_GB2312" w:hAnsi="仿宋_GB2312" w:eastAsia="仿宋_GB2312" w:cs="仿宋_GB2312"/>
          <w:kern w:val="2"/>
          <w:sz w:val="32"/>
          <w:szCs w:val="32"/>
        </w:rPr>
        <w:t>研究领域具有较强的研发能力和一定的技术储备，掌握自主知识产权。</w:t>
      </w:r>
    </w:p>
    <w:p>
      <w:pPr>
        <w:pStyle w:val="12"/>
        <w:spacing w:before="0" w:beforeAutospacing="0" w:after="0" w:afterAutospacing="0"/>
        <w:ind w:firstLine="480" w:firstLineChars="15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bookmarkStart w:id="2" w:name="_Hlk160519171"/>
      <w:r>
        <w:rPr>
          <w:rFonts w:hint="eastAsia" w:ascii="仿宋_GB2312" w:hAnsi="仿宋_GB2312" w:eastAsia="仿宋_GB2312" w:cs="仿宋_GB2312"/>
          <w:kern w:val="2"/>
          <w:sz w:val="32"/>
          <w:szCs w:val="32"/>
        </w:rPr>
        <w:t>研发项目负责人为从事5年及以上光伏领域研究人员，并在钙钛矿组件领域已取得高水平的研究开发成果（包括效率认证报告、专利和论文）。已经具有稳定的、高水平的研发团队，具有良好的研究基础和实验室条件，科研机构能够给予大力支持，提供必要的人力、物力、财力上的支持。</w:t>
      </w:r>
      <w:bookmarkEnd w:id="2"/>
    </w:p>
    <w:p>
      <w:pPr>
        <w:tabs>
          <w:tab w:val="left" w:pos="980"/>
        </w:tabs>
        <w:ind w:firstLine="48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揭榜方在</w:t>
      </w:r>
      <w:r>
        <w:rPr>
          <w:rFonts w:hint="eastAsia" w:ascii="仿宋_GB2312" w:hAnsi="仿宋_GB2312" w:eastAsia="仿宋_GB2312" w:cs="仿宋_GB2312"/>
          <w:sz w:val="32"/>
          <w:szCs w:val="32"/>
        </w:rPr>
        <w:t>发榜</w:t>
      </w:r>
      <w:r>
        <w:rPr>
          <w:rFonts w:ascii="仿宋_GB2312" w:hAnsi="仿宋_GB2312" w:eastAsia="仿宋_GB2312" w:cs="仿宋_GB2312"/>
          <w:sz w:val="32"/>
          <w:szCs w:val="32"/>
        </w:rPr>
        <w:t>日期的近5年内，</w:t>
      </w:r>
      <w:r>
        <w:rPr>
          <w:rFonts w:hint="eastAsia" w:ascii="仿宋_GB2312" w:hAnsi="仿宋_GB2312" w:eastAsia="仿宋_GB2312" w:cs="仿宋_GB2312"/>
          <w:sz w:val="32"/>
          <w:szCs w:val="32"/>
        </w:rPr>
        <w:t>主持</w:t>
      </w:r>
      <w:r>
        <w:rPr>
          <w:rFonts w:ascii="仿宋_GB2312" w:hAnsi="仿宋_GB2312" w:eastAsia="仿宋_GB2312" w:cs="仿宋_GB2312"/>
          <w:sz w:val="32"/>
          <w:szCs w:val="32"/>
        </w:rPr>
        <w:t>过至少2项国家或省部级的</w:t>
      </w:r>
      <w:r>
        <w:rPr>
          <w:rFonts w:hint="eastAsia" w:ascii="仿宋_GB2312" w:hAnsi="仿宋_GB2312" w:eastAsia="仿宋_GB2312" w:cs="仿宋_GB2312"/>
          <w:sz w:val="32"/>
          <w:szCs w:val="32"/>
        </w:rPr>
        <w:t>钙钛矿</w:t>
      </w:r>
      <w:r>
        <w:rPr>
          <w:rFonts w:ascii="仿宋_GB2312" w:hAnsi="仿宋_GB2312" w:eastAsia="仿宋_GB2312" w:cs="仿宋_GB2312"/>
          <w:sz w:val="32"/>
          <w:szCs w:val="32"/>
        </w:rPr>
        <w:t>太阳能电池</w:t>
      </w:r>
      <w:r>
        <w:rPr>
          <w:rFonts w:hint="eastAsia" w:ascii="仿宋_GB2312" w:hAnsi="仿宋_GB2312" w:eastAsia="仿宋_GB2312" w:cs="仿宋_GB2312"/>
          <w:sz w:val="32"/>
          <w:szCs w:val="32"/>
        </w:rPr>
        <w:t>相关的</w:t>
      </w:r>
      <w:r>
        <w:rPr>
          <w:rFonts w:ascii="仿宋_GB2312" w:hAnsi="仿宋_GB2312" w:eastAsia="仿宋_GB2312" w:cs="仿宋_GB2312"/>
          <w:sz w:val="32"/>
          <w:szCs w:val="32"/>
        </w:rPr>
        <w:t>科研项目（附项目的证明材料）。</w:t>
      </w:r>
    </w:p>
    <w:p>
      <w:pPr>
        <w:tabs>
          <w:tab w:val="left" w:pos="980"/>
        </w:tabs>
        <w:ind w:firstLine="480"/>
        <w:contextualSpacing/>
        <w:rPr>
          <w:rFonts w:ascii="仿宋_GB2312" w:hAnsi="仿宋_GB2312" w:eastAsia="仿宋_GB2312" w:cs="仿宋_GB2312"/>
          <w:bCs/>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揭榜方</w:t>
      </w:r>
      <w:r>
        <w:rPr>
          <w:rFonts w:hint="eastAsia" w:ascii="仿宋_GB2312" w:hAnsi="仿宋_GB2312" w:eastAsia="仿宋_GB2312" w:cs="仿宋_GB2312"/>
          <w:sz w:val="32"/>
          <w:szCs w:val="32"/>
        </w:rPr>
        <w:t>需要出具单结钙钛矿组件认证效率大于</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%的证明材料（第三方权威机构认证）</w:t>
      </w:r>
      <w:r>
        <w:rPr>
          <w:rFonts w:hint="eastAsia" w:ascii="仿宋_GB2312" w:hAnsi="仿宋_GB2312" w:eastAsia="仿宋_GB2312" w:cs="仿宋_GB2312"/>
          <w:bCs/>
          <w:sz w:val="32"/>
          <w:szCs w:val="32"/>
        </w:rPr>
        <w:t>。</w:t>
      </w:r>
    </w:p>
    <w:p>
      <w:pPr>
        <w:tabs>
          <w:tab w:val="left" w:pos="980"/>
        </w:tabs>
        <w:ind w:firstLine="48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）揭榜方具有产业化大面积钙钛矿组件中试线建设和调试的经验。</w:t>
      </w:r>
    </w:p>
    <w:p>
      <w:pPr>
        <w:widowControl/>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若单一团队没法同时满足上述需求或完成研究内容及技术指标时，可以组成联合研发团队，多单位联合揭榜的，须确定一个牵头单位，原则上组成联合体的单位不超过3家。</w:t>
      </w:r>
    </w:p>
    <w:p>
      <w:pPr>
        <w:pStyle w:val="2"/>
        <w:numPr>
          <w:ilvl w:val="0"/>
          <w:numId w:val="0"/>
        </w:num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四、项目研究合作模式</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合作开发模式</w:t>
      </w:r>
    </w:p>
    <w:p>
      <w:pPr>
        <w:widowControl/>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（1）项目申报的专利第一发明单位为青海黄河上游水电开发有限责任公司西安太阳能电力分公司，研发项目的知识产权归属为发榜方和揭榜方双方各占50%。</w:t>
      </w:r>
    </w:p>
    <w:p>
      <w:pPr>
        <w:widowControl/>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（2）项目技术开发形成的整套大面积钙钛矿光伏组件制备工艺方案发榜方可无偿使用。</w:t>
      </w:r>
    </w:p>
    <w:p>
      <w:pPr>
        <w:pStyle w:val="2"/>
        <w:numPr>
          <w:ilvl w:val="0"/>
          <w:numId w:val="0"/>
        </w:numPr>
        <w:spacing w:line="360" w:lineRule="auto"/>
        <w:ind w:firstLine="643" w:firstLineChars="200"/>
        <w:rPr>
          <w:rFonts w:hint="eastAsia" w:ascii="仿宋_GB2312" w:hAnsi="仿宋_GB2312" w:eastAsia="仿宋_GB2312" w:cs="仿宋_GB2312"/>
          <w:b/>
          <w:bCs/>
          <w:szCs w:val="21"/>
        </w:rPr>
      </w:pPr>
      <w:r>
        <w:rPr>
          <w:rFonts w:hint="eastAsia" w:ascii="仿宋_GB2312" w:hAnsi="仿宋_GB2312" w:eastAsia="仿宋_GB2312" w:cs="仿宋_GB2312"/>
          <w:b/>
          <w:bCs/>
          <w:sz w:val="32"/>
          <w:szCs w:val="32"/>
        </w:rPr>
        <w:t>五、经费预算</w:t>
      </w:r>
    </w:p>
    <w:p>
      <w:pPr>
        <w:pStyle w:val="2"/>
        <w:numPr>
          <w:ilvl w:val="0"/>
          <w:numId w:val="0"/>
        </w:numPr>
        <w:spacing w:line="360" w:lineRule="auto"/>
        <w:ind w:firstLine="640" w:firstLineChars="200"/>
        <w:rPr>
          <w:rFonts w:ascii="仿宋_GB2312" w:hAnsi="仿宋_GB2312" w:eastAsia="仿宋_GB2312" w:cs="仿宋_GB2312"/>
          <w:b w:val="0"/>
          <w:sz w:val="32"/>
          <w:szCs w:val="32"/>
          <w:lang w:eastAsia="zh-Hans"/>
        </w:rPr>
      </w:pPr>
      <w:r>
        <w:rPr>
          <w:rFonts w:hint="eastAsia" w:ascii="仿宋_GB2312" w:hAnsi="仿宋_GB2312" w:eastAsia="仿宋_GB2312" w:cs="仿宋_GB2312"/>
          <w:b w:val="0"/>
          <w:kern w:val="2"/>
          <w:sz w:val="32"/>
          <w:szCs w:val="32"/>
          <w:highlight w:val="none"/>
          <w:lang w:val="en-US" w:eastAsia="zh-CN" w:bidi="ar-SA"/>
        </w:rPr>
        <w:t>总经费控制在</w:t>
      </w:r>
      <w:r>
        <w:rPr>
          <w:rFonts w:hint="eastAsia" w:ascii="仿宋_GB2312" w:hAnsi="仿宋_GB2312" w:eastAsia="仿宋_GB2312" w:cs="仿宋_GB2312"/>
          <w:b w:val="0"/>
          <w:sz w:val="32"/>
          <w:szCs w:val="32"/>
          <w:lang w:val="en-US" w:eastAsia="zh-CN"/>
        </w:rPr>
        <w:t>260</w:t>
      </w:r>
      <w:r>
        <w:rPr>
          <w:rFonts w:hint="eastAsia" w:ascii="仿宋_GB2312" w:hAnsi="仿宋_GB2312" w:eastAsia="仿宋_GB2312" w:cs="仿宋_GB2312"/>
          <w:b w:val="0"/>
          <w:sz w:val="32"/>
          <w:szCs w:val="32"/>
          <w:lang w:eastAsia="zh-Hans"/>
        </w:rPr>
        <w:t>万元</w:t>
      </w:r>
      <w:r>
        <w:rPr>
          <w:rFonts w:hint="eastAsia" w:ascii="仿宋_GB2312" w:hAnsi="仿宋_GB2312" w:eastAsia="仿宋_GB2312" w:cs="仿宋_GB2312"/>
          <w:b w:val="0"/>
          <w:sz w:val="32"/>
          <w:szCs w:val="32"/>
          <w:lang w:val="en-US" w:eastAsia="zh-CN"/>
        </w:rPr>
        <w:t>以内</w:t>
      </w:r>
      <w:r>
        <w:rPr>
          <w:rFonts w:hint="eastAsia" w:ascii="仿宋_GB2312" w:hAnsi="仿宋_GB2312" w:eastAsia="仿宋_GB2312" w:cs="仿宋_GB2312"/>
          <w:b w:val="0"/>
          <w:sz w:val="32"/>
          <w:szCs w:val="32"/>
          <w:lang w:eastAsia="zh-Hans"/>
        </w:rPr>
        <w:t>。</w:t>
      </w:r>
    </w:p>
    <w:p>
      <w:pPr>
        <w:pStyle w:val="2"/>
        <w:numPr>
          <w:ilvl w:val="0"/>
          <w:numId w:val="0"/>
        </w:num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六、研究周期</w:t>
      </w:r>
    </w:p>
    <w:p>
      <w:pPr>
        <w:ind w:firstLine="640" w:firstLineChars="20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sz w:val="32"/>
          <w:szCs w:val="32"/>
          <w:lang w:val="en-US" w:eastAsia="zh-CN"/>
        </w:rPr>
        <w:t>签订合同</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hint="eastAsia" w:ascii="仿宋_GB2312" w:hAnsi="仿宋_GB2312" w:eastAsia="仿宋_GB2312" w:cs="仿宋_GB2312"/>
          <w:b w:val="0"/>
          <w:bCs w:val="0"/>
          <w:color w:val="000000"/>
          <w:kern w:val="0"/>
          <w:sz w:val="32"/>
          <w:szCs w:val="32"/>
        </w:rPr>
        <w:t>。</w:t>
      </w:r>
    </w:p>
    <w:p>
      <w:pPr>
        <w:ind w:firstLine="643" w:firstLineChars="20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bCs/>
          <w:kern w:val="2"/>
          <w:sz w:val="32"/>
          <w:szCs w:val="32"/>
          <w:lang w:val="en-US" w:eastAsia="zh-CN" w:bidi="ar-SA"/>
        </w:rPr>
        <w:t>七、项目联系人及电话</w:t>
      </w:r>
    </w:p>
    <w:p>
      <w:pPr>
        <w:widowControl/>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联系人：</w:t>
      </w:r>
      <w:r>
        <w:rPr>
          <w:rFonts w:hint="eastAsia" w:ascii="仿宋_GB2312" w:hAnsi="仿宋_GB2312" w:eastAsia="仿宋_GB2312" w:cs="仿宋_GB2312"/>
          <w:sz w:val="32"/>
          <w:szCs w:val="32"/>
        </w:rPr>
        <w:t>高鹏</w:t>
      </w:r>
    </w:p>
    <w:p>
      <w:pPr>
        <w:widowControl/>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联系电话：</w:t>
      </w:r>
      <w:r>
        <w:rPr>
          <w:rFonts w:ascii="仿宋_GB2312" w:hAnsi="仿宋_GB2312" w:eastAsia="仿宋_GB2312" w:cs="仿宋_GB2312"/>
          <w:sz w:val="32"/>
          <w:szCs w:val="32"/>
        </w:rPr>
        <w:t>18092920582</w:t>
      </w:r>
      <w:r>
        <w:rPr>
          <w:rFonts w:hint="eastAsia" w:ascii="仿宋_GB2312" w:hAnsi="仿宋_GB2312" w:eastAsia="仿宋_GB2312" w:cs="仿宋_GB2312"/>
          <w:sz w:val="32"/>
          <w:szCs w:val="32"/>
        </w:rPr>
        <w:br w:type="page"/>
      </w:r>
    </w:p>
    <w:p>
      <w:pPr>
        <w:snapToGrid w:val="0"/>
        <w:spacing w:after="0" w:line="560" w:lineRule="exact"/>
        <w:ind w:firstLine="643" w:firstLineChars="200"/>
        <w:jc w:val="left"/>
        <w:rPr>
          <w:rFonts w:hint="eastAsia" w:ascii="黑体" w:hAnsi="黑体" w:eastAsia="黑体" w:cs="黑体"/>
          <w:b/>
          <w:bCs w:val="0"/>
          <w:kern w:val="0"/>
          <w:sz w:val="32"/>
          <w:szCs w:val="32"/>
          <w:highlight w:val="none"/>
          <w:lang w:val="en-US" w:eastAsia="zh-CN" w:bidi="ar"/>
        </w:rPr>
      </w:pPr>
      <w:r>
        <w:rPr>
          <w:rFonts w:hint="eastAsia" w:ascii="黑体" w:hAnsi="黑体" w:eastAsia="黑体" w:cs="黑体"/>
          <w:b/>
          <w:bCs w:val="0"/>
          <w:kern w:val="0"/>
          <w:sz w:val="32"/>
          <w:szCs w:val="32"/>
          <w:highlight w:val="none"/>
          <w:lang w:val="en-US" w:eastAsia="zh-CN" w:bidi="ar"/>
        </w:rPr>
        <w:t>项目2：络合精馏分离三氯氢硅中硼磷杂质实验研究</w:t>
      </w:r>
    </w:p>
    <w:p>
      <w:pPr>
        <w:widowControl/>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一、攻关难题和攻关内容</w:t>
      </w:r>
    </w:p>
    <w:p>
      <w:pPr>
        <w:widowControl/>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（一）攻关难</w:t>
      </w:r>
      <w:r>
        <w:rPr>
          <w:rFonts w:hint="eastAsia" w:ascii="仿宋_GB2312" w:hAnsi="仿宋_GB2312" w:eastAsia="仿宋_GB2312" w:cs="仿宋_GB2312"/>
          <w:sz w:val="32"/>
          <w:szCs w:val="32"/>
          <w:lang w:val="en-US" w:eastAsia="zh-CN"/>
        </w:rPr>
        <w:t>题</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由于硼、磷杂质化合物沸点与三氯氢硅沸点接近，直接精馏方法存在回流比大，能耗高、效率低的问题。且多级连续定向精馏工艺提纯高纯三氯氢硅，存在工艺流程长、设备多、能耗高、单套装置处理能力小、分离效率相对较低、生产成本高、产品质量不稳定等问题。</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2、随着国内半导体硅片趋向大尺寸发展，其对原料电子级多晶硅的质量要求越发严苛，如何高效分离提纯三氯氢硅中的硼磷杂质成为当前电子级多晶硅生产的关键难题。</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3、文献资料显示，可在粗三氯氢硅中加入某种络合剂</w:t>
      </w:r>
      <w:r>
        <w:rPr>
          <w:rFonts w:hint="eastAsia" w:ascii="仿宋_GB2312" w:hAnsi="仿宋_GB2312" w:eastAsia="仿宋_GB2312" w:cs="仿宋_GB2312"/>
          <w:b w:val="0"/>
          <w:sz w:val="32"/>
          <w:szCs w:val="32"/>
          <w:highlight w:val="none"/>
          <w:lang w:val="en-US" w:eastAsia="zh-CN"/>
        </w:rPr>
        <w:t>（如含过渡金属元素类、含苯衍生物、含N、P、S、O类有机络合剂和硅氧烷类、卤素类络合剂）</w:t>
      </w:r>
      <w:r>
        <w:rPr>
          <w:rFonts w:hint="eastAsia" w:ascii="仿宋_GB2312" w:hAnsi="宋体" w:eastAsia="仿宋_GB2312" w:cs="Times New Roman"/>
          <w:kern w:val="2"/>
          <w:sz w:val="32"/>
          <w:szCs w:val="32"/>
          <w:highlight w:val="none"/>
          <w:lang w:val="en-US" w:eastAsia="zh-CN" w:bidi="ar-SA"/>
        </w:rPr>
        <w:t>使硼、磷杂质化合物变成与三氯氢硅沸点相差很大的稳定的络合物，然后通过精馏、过滤、倾析等方法分离，该法对去除硼、磷杂质具有不同程度的效果。因此，研发确定一种可行、稳定且高效的络合剂是本项目攻关的难点。</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（二）攻关内容</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1、检索分析三氯氢硅络合精馏去除硼磷杂质相关文献资料，确定可行且高效的络合剂。</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2、设计络合精馏去除三氯氢硅中硼磷杂质的正交实验方案。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3、采用硼、磷含量≤0.030ppmw的三氯氢硅为试验原料，根据试验方案开展实验，确定最佳络合剂及络合反应条件（温度、配比等，实验水平数不低于4个），并试验验证除杂效果。</w:t>
      </w:r>
    </w:p>
    <w:p>
      <w:pPr>
        <w:widowControl/>
        <w:spacing w:line="360" w:lineRule="auto"/>
        <w:ind w:firstLine="643" w:firstLineChars="200"/>
        <w:rPr>
          <w:rFonts w:hint="eastAsia" w:ascii="仿宋_GB2312" w:hAnsi="仿宋_GB2312" w:eastAsia="仿宋_GB2312" w:cs="仿宋_GB2312"/>
          <w:b/>
          <w:bCs/>
          <w:sz w:val="32"/>
          <w:szCs w:val="32"/>
        </w:rPr>
      </w:pPr>
      <w:r>
        <w:rPr>
          <w:rFonts w:hint="eastAsia" w:ascii="宋体" w:hAnsi="宋体" w:cs="宋体"/>
          <w:b/>
          <w:bCs/>
          <w:sz w:val="32"/>
          <w:szCs w:val="32"/>
        </w:rPr>
        <w:t>二</w:t>
      </w:r>
      <w:r>
        <w:rPr>
          <w:rFonts w:hint="eastAsia" w:ascii="仿宋_GB2312" w:hAnsi="仿宋_GB2312" w:eastAsia="仿宋_GB2312" w:cs="仿宋_GB2312"/>
          <w:b/>
          <w:bCs/>
          <w:sz w:val="32"/>
          <w:szCs w:val="32"/>
        </w:rPr>
        <w:t>、攻关后希望达到的预期目标、技术指标、预期成果</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（一）预期目标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1、检索分析三氯氢硅络合精馏去除硼磷杂质相关文献资料，确定可行且高效的络合剂并形成研究报告。</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2、设计形成络合精馏去除三氯氢硅中硼磷杂质的实验方案。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3、通过试验确定最佳络合剂及络合反应条件（温度、配比等），并形成实验研究报告。</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（二）技术指标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新型高效络合精馏对粗三氯氢硅中硼、磷杂质（</w:t>
      </w:r>
      <w:r>
        <w:rPr>
          <w:rFonts w:hint="eastAsia" w:ascii="仿宋_GB2312" w:hAnsi="仿宋_GB2312" w:eastAsia="仿宋_GB2312" w:cs="仿宋_GB2312"/>
          <w:b w:val="0"/>
          <w:sz w:val="32"/>
          <w:szCs w:val="32"/>
          <w:highlight w:val="none"/>
          <w:lang w:val="en-US" w:eastAsia="zh-CN"/>
        </w:rPr>
        <w:t>含量≤0.030ppmw</w:t>
      </w:r>
      <w:r>
        <w:rPr>
          <w:rFonts w:hint="eastAsia" w:ascii="仿宋_GB2312" w:hAnsi="宋体" w:eastAsia="仿宋_GB2312" w:cs="Times New Roman"/>
          <w:kern w:val="2"/>
          <w:sz w:val="32"/>
          <w:szCs w:val="32"/>
          <w:highlight w:val="none"/>
          <w:lang w:val="en-US" w:eastAsia="zh-CN" w:bidi="ar-SA"/>
        </w:rPr>
        <w:t>）去除率≥50%。</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（三）预期成果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1、形成络合精馏去除三氯氢硅中硼磷杂质文献报告。</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2、形成络合精馏去除三氯氢硅中硼磷杂质实验方案。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3、通过实验形成实验研究报告。</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4、发表</w:t>
      </w:r>
      <w:r>
        <w:rPr>
          <w:rFonts w:hint="eastAsia" w:ascii="仿宋_GB2312" w:hAnsi="仿宋_GB2312" w:eastAsia="仿宋_GB2312" w:cs="仿宋_GB2312"/>
          <w:b w:val="0"/>
          <w:sz w:val="32"/>
          <w:szCs w:val="32"/>
        </w:rPr>
        <w:t>国家级（</w:t>
      </w:r>
      <w:r>
        <w:rPr>
          <w:rFonts w:hint="eastAsia" w:ascii="仿宋_GB2312" w:hAnsi="宋体" w:eastAsia="仿宋_GB2312" w:cs="Times New Roman"/>
          <w:kern w:val="2"/>
          <w:sz w:val="32"/>
          <w:szCs w:val="32"/>
          <w:highlight w:val="none"/>
          <w:lang w:val="en-US" w:eastAsia="zh-CN" w:bidi="ar-SA"/>
        </w:rPr>
        <w:t>北大核心</w:t>
      </w:r>
      <w:r>
        <w:rPr>
          <w:rFonts w:hint="eastAsia" w:ascii="仿宋_GB2312" w:hAnsi="仿宋_GB2312" w:eastAsia="仿宋_GB2312" w:cs="仿宋_GB2312"/>
          <w:b w:val="0"/>
          <w:sz w:val="32"/>
          <w:szCs w:val="32"/>
        </w:rPr>
        <w:t>）期刊论文1篇</w:t>
      </w:r>
      <w:r>
        <w:rPr>
          <w:rFonts w:hint="eastAsia" w:ascii="仿宋_GB2312" w:hAnsi="宋体" w:eastAsia="仿宋_GB2312" w:cs="Times New Roman"/>
          <w:kern w:val="2"/>
          <w:sz w:val="32"/>
          <w:szCs w:val="32"/>
          <w:highlight w:val="none"/>
          <w:lang w:val="en-US" w:eastAsia="zh-CN" w:bidi="ar-SA"/>
        </w:rPr>
        <w:t>。</w:t>
      </w:r>
    </w:p>
    <w:p>
      <w:pPr>
        <w:widowControl/>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三、对揭榜方要求</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color w:val="auto"/>
          <w:kern w:val="2"/>
          <w:sz w:val="32"/>
          <w:szCs w:val="32"/>
          <w:lang w:val="en-US" w:eastAsia="zh-Hans" w:bidi="ar-SA"/>
        </w:rPr>
      </w:pPr>
      <w:r>
        <w:rPr>
          <w:rFonts w:hint="eastAsia" w:ascii="仿宋_GB2312" w:hAnsi="仿宋_GB2312" w:eastAsia="仿宋_GB2312" w:cs="仿宋_GB2312"/>
          <w:b w:val="0"/>
          <w:bCs/>
          <w:color w:val="auto"/>
          <w:kern w:val="2"/>
          <w:sz w:val="32"/>
          <w:szCs w:val="32"/>
          <w:lang w:val="en-US" w:eastAsia="zh-Hans" w:bidi="ar-SA"/>
        </w:rPr>
        <w:t>（一）</w:t>
      </w:r>
      <w:r>
        <w:rPr>
          <w:rFonts w:hint="default" w:ascii="仿宋_GB2312" w:hAnsi="仿宋_GB2312" w:eastAsia="仿宋_GB2312" w:cs="仿宋_GB2312"/>
          <w:b w:val="0"/>
          <w:bCs/>
          <w:color w:val="auto"/>
          <w:kern w:val="2"/>
          <w:sz w:val="32"/>
          <w:szCs w:val="32"/>
          <w:lang w:val="en-US" w:eastAsia="zh-CN" w:bidi="ar-SA"/>
        </w:rPr>
        <w:t>揭榜方基本要求</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default" w:ascii="Times New Roman" w:hAnsi="Times New Roman" w:eastAsia="黑体" w:cs="Times New Roman"/>
          <w:b/>
          <w:color w:val="auto"/>
          <w:kern w:val="2"/>
          <w:sz w:val="21"/>
          <w:szCs w:val="22"/>
          <w:lang w:val="en-US" w:eastAsia="zh-Hans" w:bidi="ar-SA"/>
        </w:rPr>
      </w:pP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揭榜方必须是在中华人民共和国市场监督管理部门注册的，具有独立法人和一般纳税人资格的，具备新型高效络合精馏工艺理论研究、试验研究科研能力的企业（高校、科研院所）；</w:t>
      </w:r>
      <w:r>
        <w:rPr>
          <w:rFonts w:hint="eastAsia" w:ascii="仿宋_GB2312" w:hAnsi="仿宋_GB2312" w:eastAsia="仿宋_GB2312" w:cs="仿宋_GB2312"/>
          <w:b w:val="0"/>
          <w:bCs w:val="0"/>
          <w:color w:val="auto"/>
          <w:kern w:val="2"/>
          <w:sz w:val="32"/>
          <w:szCs w:val="32"/>
          <w:highlight w:val="none"/>
          <w:lang w:val="en-US" w:eastAsia="zh-CN" w:bidi="ar-SA"/>
        </w:rPr>
        <w:t>应具有良好的企业信用，不存在被</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列为</w:t>
      </w:r>
      <w:r>
        <w:rPr>
          <w:rFonts w:hint="eastAsia" w:ascii="仿宋_GB2312" w:hAnsi="仿宋_GB2312" w:eastAsia="仿宋_GB2312" w:cs="仿宋_GB2312"/>
          <w:b w:val="0"/>
          <w:bCs w:val="0"/>
          <w:color w:val="auto"/>
          <w:kern w:val="2"/>
          <w:sz w:val="32"/>
          <w:szCs w:val="32"/>
          <w:highlight w:val="none"/>
          <w:lang w:val="en-US" w:eastAsia="zh-CN" w:bidi="ar-SA"/>
        </w:rPr>
        <w:t>失信被执行人的情形；近三年财务和资信状况良好，没有财产被接管、冻结或处于亏损、破产状态，应提相关证明（如财务审计报告或报表、资信证明等）。</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w:t>
      </w:r>
      <w:r>
        <w:rPr>
          <w:rFonts w:hint="default" w:ascii="仿宋_GB2312" w:hAnsi="仿宋_GB2312" w:eastAsia="仿宋_GB2312" w:cs="仿宋_GB2312"/>
          <w:b w:val="0"/>
          <w:bCs/>
          <w:color w:val="auto"/>
          <w:kern w:val="2"/>
          <w:sz w:val="32"/>
          <w:szCs w:val="32"/>
          <w:lang w:val="en-US" w:eastAsia="zh-CN" w:bidi="ar-SA"/>
        </w:rPr>
        <w:t>揭榜方</w:t>
      </w:r>
      <w:r>
        <w:rPr>
          <w:rFonts w:hint="eastAsia" w:ascii="仿宋_GB2312" w:hAnsi="仿宋_GB2312" w:eastAsia="仿宋_GB2312" w:cs="仿宋_GB2312"/>
          <w:b w:val="0"/>
          <w:bCs/>
          <w:color w:val="auto"/>
          <w:kern w:val="2"/>
          <w:sz w:val="32"/>
          <w:szCs w:val="32"/>
          <w:lang w:val="en-US" w:eastAsia="zh-Hans" w:bidi="ar-SA"/>
        </w:rPr>
        <w:t>技术</w:t>
      </w:r>
      <w:r>
        <w:rPr>
          <w:rFonts w:hint="default" w:ascii="仿宋_GB2312" w:hAnsi="仿宋_GB2312" w:eastAsia="仿宋_GB2312" w:cs="仿宋_GB2312"/>
          <w:b w:val="0"/>
          <w:bCs/>
          <w:color w:val="auto"/>
          <w:kern w:val="2"/>
          <w:sz w:val="32"/>
          <w:szCs w:val="32"/>
          <w:lang w:val="en-US" w:eastAsia="zh-CN" w:bidi="ar-SA"/>
        </w:rPr>
        <w:t>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sz w:val="32"/>
          <w:szCs w:val="32"/>
          <w:highlight w:val="none"/>
          <w:lang w:val="en-US" w:eastAsia="zh-CN"/>
        </w:rPr>
        <w:t>1、</w:t>
      </w:r>
      <w:r>
        <w:rPr>
          <w:rFonts w:hint="eastAsia" w:ascii="仿宋_GB2312" w:hAnsi="仿宋_GB2312" w:eastAsia="仿宋_GB2312" w:cs="仿宋_GB2312"/>
          <w:b w:val="0"/>
          <w:sz w:val="32"/>
          <w:szCs w:val="32"/>
          <w:highlight w:val="none"/>
        </w:rPr>
        <w:t>揭榜</w:t>
      </w:r>
      <w:r>
        <w:rPr>
          <w:rFonts w:hint="eastAsia" w:ascii="仿宋_GB2312" w:hAnsi="仿宋_GB2312" w:eastAsia="仿宋_GB2312" w:cs="仿宋_GB2312"/>
          <w:b w:val="0"/>
          <w:sz w:val="32"/>
          <w:szCs w:val="32"/>
          <w:highlight w:val="none"/>
          <w:lang w:val="en-US" w:eastAsia="zh-CN"/>
        </w:rPr>
        <w:t>单位</w:t>
      </w:r>
      <w:r>
        <w:rPr>
          <w:rFonts w:hint="eastAsia" w:ascii="仿宋_GB2312" w:hAnsi="仿宋_GB2312" w:eastAsia="仿宋_GB2312" w:cs="仿宋_GB2312"/>
          <w:b w:val="0"/>
          <w:sz w:val="32"/>
          <w:szCs w:val="32"/>
          <w:highlight w:val="none"/>
        </w:rPr>
        <w:t>须注册成立三年以</w:t>
      </w:r>
      <w:r>
        <w:rPr>
          <w:rFonts w:hint="eastAsia" w:ascii="仿宋_GB2312" w:hAnsi="仿宋_GB2312" w:eastAsia="仿宋_GB2312" w:cs="仿宋_GB2312"/>
          <w:b w:val="0"/>
          <w:bCs w:val="0"/>
          <w:sz w:val="32"/>
          <w:szCs w:val="32"/>
          <w:highlight w:val="none"/>
        </w:rPr>
        <w:t>上。</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firstLine="640" w:firstLineChars="200"/>
        <w:textAlignment w:val="auto"/>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sz w:val="32"/>
          <w:szCs w:val="32"/>
          <w:highlight w:val="none"/>
          <w:lang w:val="en-US" w:eastAsia="zh-CN"/>
        </w:rPr>
        <w:t>2、</w:t>
      </w:r>
      <w:r>
        <w:rPr>
          <w:rFonts w:hint="eastAsia" w:ascii="仿宋_GB2312" w:hAnsi="仿宋_GB2312" w:eastAsia="仿宋_GB2312" w:cs="仿宋_GB2312"/>
          <w:b w:val="0"/>
          <w:sz w:val="32"/>
          <w:szCs w:val="32"/>
          <w:highlight w:val="none"/>
        </w:rPr>
        <w:t>揭榜方在</w:t>
      </w:r>
      <w:r>
        <w:rPr>
          <w:rFonts w:hint="eastAsia" w:ascii="仿宋_GB2312" w:hAnsi="仿宋_GB2312" w:eastAsia="仿宋_GB2312" w:cs="仿宋_GB2312"/>
          <w:b w:val="0"/>
          <w:sz w:val="32"/>
          <w:szCs w:val="32"/>
          <w:highlight w:val="none"/>
          <w:lang w:val="en-US" w:eastAsia="zh-CN"/>
        </w:rPr>
        <w:t>新型高效络合精馏除杂工艺</w:t>
      </w:r>
      <w:r>
        <w:rPr>
          <w:rFonts w:hint="eastAsia" w:ascii="仿宋_GB2312" w:hAnsi="仿宋_GB2312" w:eastAsia="仿宋_GB2312" w:cs="仿宋_GB2312"/>
          <w:b w:val="0"/>
          <w:sz w:val="32"/>
          <w:szCs w:val="32"/>
          <w:highlight w:val="none"/>
        </w:rPr>
        <w:t>领域已开展了深入研究并取得了一定的突破性进展，</w:t>
      </w:r>
      <w:r>
        <w:rPr>
          <w:rFonts w:hint="eastAsia" w:ascii="仿宋_GB2312" w:hAnsi="仿宋_GB2312" w:eastAsia="仿宋_GB2312" w:cs="仿宋_GB2312"/>
          <w:b w:val="0"/>
          <w:sz w:val="32"/>
          <w:szCs w:val="32"/>
          <w:highlight w:val="none"/>
          <w:lang w:val="en-US" w:eastAsia="zh-CN"/>
        </w:rPr>
        <w:t>具有一项及以上相关课题研究业绩，</w:t>
      </w:r>
      <w:r>
        <w:rPr>
          <w:rFonts w:hint="eastAsia" w:ascii="仿宋_GB2312" w:hAnsi="仿宋_GB2312" w:eastAsia="仿宋_GB2312" w:cs="仿宋_GB2312"/>
          <w:b w:val="0"/>
          <w:sz w:val="32"/>
          <w:szCs w:val="32"/>
          <w:highlight w:val="none"/>
        </w:rPr>
        <w:t>具有较强的技术储备，掌握项目领域相关核心自主知识产权。</w:t>
      </w:r>
    </w:p>
    <w:p>
      <w:pPr>
        <w:pStyle w:val="2"/>
        <w:numPr>
          <w:ilvl w:val="0"/>
          <w:numId w:val="0"/>
        </w:numPr>
        <w:autoSpaceDE/>
        <w:autoSpaceDN/>
        <w:snapToGrid w:val="0"/>
        <w:spacing w:line="360" w:lineRule="auto"/>
        <w:ind w:firstLine="64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3、</w:t>
      </w:r>
      <w:r>
        <w:rPr>
          <w:rFonts w:hint="eastAsia" w:ascii="仿宋_GB2312" w:hAnsi="仿宋_GB2312" w:eastAsia="仿宋_GB2312" w:cs="仿宋_GB2312"/>
          <w:b w:val="0"/>
          <w:sz w:val="32"/>
          <w:szCs w:val="32"/>
          <w:highlight w:val="none"/>
        </w:rPr>
        <w:t>揭榜方具备能够满足项目实施的相应规模和水平的研发实力、科研条件和科研队伍</w:t>
      </w:r>
      <w:r>
        <w:rPr>
          <w:rFonts w:hint="eastAsia" w:ascii="仿宋_GB2312" w:hAnsi="仿宋_GB2312" w:eastAsia="仿宋_GB2312" w:cs="仿宋_GB2312"/>
          <w:b w:val="0"/>
          <w:bCs w:val="0"/>
          <w:sz w:val="32"/>
          <w:szCs w:val="32"/>
          <w:highlight w:val="none"/>
          <w:lang w:val="en-US" w:eastAsia="zh-CN"/>
        </w:rPr>
        <w:t>。</w:t>
      </w:r>
    </w:p>
    <w:p>
      <w:pPr>
        <w:pStyle w:val="5"/>
        <w:rPr>
          <w:rFonts w:hint="default"/>
          <w:lang w:val="en-US" w:eastAsia="zh-CN"/>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color w:val="auto"/>
          <w:kern w:val="2"/>
          <w:sz w:val="32"/>
          <w:szCs w:val="32"/>
          <w:highlight w:val="none"/>
          <w:lang w:val="en-US" w:eastAsia="zh-CN" w:bidi="ar-SA"/>
        </w:rPr>
        <w:t>揭榜方为发榜放</w:t>
      </w:r>
      <w:r>
        <w:rPr>
          <w:rFonts w:hint="eastAsia" w:ascii="仿宋_GB2312" w:hAnsi="仿宋_GB2312" w:eastAsia="仿宋_GB2312" w:cs="仿宋_GB2312"/>
          <w:b w:val="0"/>
          <w:bCs w:val="0"/>
          <w:sz w:val="32"/>
          <w:szCs w:val="32"/>
          <w:highlight w:val="none"/>
          <w:lang w:val="en-US" w:eastAsia="zh-CN"/>
        </w:rPr>
        <w:t>在后续放大实验</w:t>
      </w:r>
      <w:r>
        <w:rPr>
          <w:rFonts w:hint="eastAsia" w:ascii="仿宋_GB2312" w:hAnsi="仿宋_GB2312" w:eastAsia="仿宋_GB2312" w:cs="仿宋_GB2312"/>
          <w:b w:val="0"/>
          <w:bCs w:val="0"/>
          <w:color w:val="auto"/>
          <w:kern w:val="2"/>
          <w:sz w:val="32"/>
          <w:szCs w:val="32"/>
          <w:highlight w:val="none"/>
          <w:lang w:val="en-US" w:eastAsia="zh-CN" w:bidi="ar-SA"/>
        </w:rPr>
        <w:t>过程中提供技术支持。</w:t>
      </w:r>
    </w:p>
    <w:p>
      <w:pPr>
        <w:widowControl/>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四、项目研究合作模式</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（一）</w:t>
      </w:r>
      <w:r>
        <w:rPr>
          <w:rFonts w:hint="eastAsia" w:ascii="仿宋_GB2312" w:hAnsi="仿宋_GB2312" w:eastAsia="仿宋_GB2312" w:cs="仿宋_GB2312"/>
          <w:b w:val="0"/>
          <w:bCs w:val="0"/>
          <w:color w:val="auto"/>
          <w:kern w:val="2"/>
          <w:sz w:val="32"/>
          <w:szCs w:val="32"/>
          <w:highlight w:val="none"/>
          <w:lang w:val="en-US" w:eastAsia="zh-CN" w:bidi="ar-SA"/>
        </w:rPr>
        <w:t>合作模式</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委托开发模式</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（二）产权</w:t>
      </w:r>
      <w:r>
        <w:rPr>
          <w:rFonts w:hint="default" w:ascii="仿宋_GB2312" w:hAnsi="仿宋_GB2312" w:eastAsia="仿宋_GB2312" w:cs="仿宋_GB2312"/>
          <w:b w:val="0"/>
          <w:bCs w:val="0"/>
          <w:color w:val="auto"/>
          <w:kern w:val="2"/>
          <w:sz w:val="32"/>
          <w:szCs w:val="32"/>
          <w:highlight w:val="none"/>
          <w:lang w:val="en-US" w:eastAsia="zh-CN" w:bidi="ar-SA"/>
        </w:rPr>
        <w:t>归属</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1、项目研究过程中形成的知识产权包括专利、论文,项目研发所涉及的设计、工艺、方案、技术资料、总结报告等均归发榜放所有。</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sz w:val="32"/>
          <w:szCs w:val="32"/>
          <w:highlight w:val="none"/>
          <w:lang w:val="en-US" w:eastAsia="zh-CN"/>
        </w:rPr>
        <w:t>2、揭榜方负责络合精馏除硼、磷实验方案的制定，经发榜方审核通过后开展实验研究，其研制设备</w:t>
      </w:r>
      <w:r>
        <w:rPr>
          <w:rFonts w:hint="eastAsia" w:ascii="仿宋_GB2312" w:hAnsi="仿宋_GB2312" w:eastAsia="仿宋_GB2312" w:cs="仿宋_GB2312"/>
          <w:b w:val="0"/>
          <w:bCs w:val="0"/>
          <w:color w:val="auto"/>
          <w:kern w:val="2"/>
          <w:sz w:val="32"/>
          <w:szCs w:val="32"/>
          <w:highlight w:val="none"/>
          <w:lang w:val="en-US" w:eastAsia="zh-CN" w:bidi="ar-SA"/>
        </w:rPr>
        <w:t>归发榜方所有。</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w:t>
      </w:r>
      <w:r>
        <w:rPr>
          <w:rFonts w:hint="eastAsia" w:ascii="仿宋_GB2312" w:hAnsi="仿宋_GB2312" w:eastAsia="仿宋_GB2312" w:cs="仿宋_GB2312"/>
          <w:b w:val="0"/>
          <w:bCs w:val="0"/>
          <w:color w:val="auto"/>
          <w:kern w:val="2"/>
          <w:sz w:val="32"/>
          <w:szCs w:val="32"/>
          <w:highlight w:val="none"/>
          <w:lang w:val="en-US" w:eastAsia="zh-CN" w:bidi="ar-SA"/>
        </w:rPr>
        <w:t>、双方需就项目研究过程中所涉及的所有技术资料签订专项保密协议并履行保密义务。</w:t>
      </w:r>
    </w:p>
    <w:p>
      <w:pPr>
        <w:numPr>
          <w:ilvl w:val="0"/>
          <w:numId w:val="4"/>
        </w:num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经费预算</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highlight w:val="none"/>
          <w:lang w:val="en-US" w:eastAsia="zh-CN" w:bidi="ar-SA"/>
        </w:rPr>
        <w:t>总经费控制在</w:t>
      </w:r>
      <w:r>
        <w:rPr>
          <w:rFonts w:hint="eastAsia" w:ascii="仿宋_GB2312" w:hAnsi="仿宋_GB2312" w:eastAsia="仿宋_GB2312" w:cs="仿宋_GB2312"/>
          <w:sz w:val="32"/>
          <w:szCs w:val="32"/>
          <w:lang w:val="en-US" w:eastAsia="zh-CN"/>
        </w:rPr>
        <w:t>60.5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以内</w:t>
      </w:r>
      <w:r>
        <w:rPr>
          <w:rFonts w:hint="eastAsia" w:ascii="仿宋_GB2312" w:hAnsi="仿宋_GB2312" w:eastAsia="仿宋_GB2312" w:cs="仿宋_GB2312"/>
          <w:sz w:val="32"/>
          <w:szCs w:val="32"/>
        </w:rPr>
        <w:t>。</w:t>
      </w:r>
    </w:p>
    <w:p>
      <w:pPr>
        <w:pStyle w:val="2"/>
        <w:numPr>
          <w:ilvl w:val="0"/>
          <w:numId w:val="4"/>
        </w:num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研究周期</w:t>
      </w:r>
    </w:p>
    <w:p>
      <w:pPr>
        <w:pStyle w:val="2"/>
        <w:numPr>
          <w:ilvl w:val="1"/>
          <w:numId w:val="0"/>
        </w:numPr>
        <w:ind w:leftChars="200" w:firstLine="320" w:firstLineChars="1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签订合同后-</w:t>
      </w:r>
      <w:r>
        <w:rPr>
          <w:rFonts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月。</w:t>
      </w:r>
    </w:p>
    <w:p>
      <w:pPr>
        <w:pStyle w:val="5"/>
        <w:ind w:firstLine="42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七：</w:t>
      </w:r>
      <w:r>
        <w:rPr>
          <w:rFonts w:hint="eastAsia" w:ascii="仿宋_GB2312" w:hAnsi="仿宋_GB2312" w:eastAsia="仿宋_GB2312" w:cs="仿宋_GB2312"/>
          <w:b/>
          <w:bCs/>
          <w:kern w:val="2"/>
          <w:sz w:val="32"/>
          <w:szCs w:val="32"/>
          <w:lang w:val="en-US" w:eastAsia="zh-CN"/>
        </w:rPr>
        <w:t>项目</w:t>
      </w:r>
      <w:r>
        <w:rPr>
          <w:rFonts w:hint="eastAsia" w:ascii="仿宋_GB2312" w:hAnsi="仿宋_GB2312" w:eastAsia="仿宋_GB2312" w:cs="仿宋_GB2312"/>
          <w:b/>
          <w:bCs/>
          <w:kern w:val="2"/>
          <w:sz w:val="32"/>
          <w:szCs w:val="32"/>
        </w:rPr>
        <w:t>联系人</w:t>
      </w:r>
      <w:r>
        <w:rPr>
          <w:rFonts w:hint="eastAsia" w:ascii="仿宋_GB2312" w:hAnsi="仿宋_GB2312" w:eastAsia="仿宋_GB2312" w:cs="仿宋_GB2312"/>
          <w:b/>
          <w:bCs/>
          <w:kern w:val="2"/>
          <w:sz w:val="32"/>
          <w:szCs w:val="32"/>
          <w:lang w:val="en-US" w:eastAsia="zh-CN"/>
        </w:rPr>
        <w:t>及电话</w:t>
      </w:r>
    </w:p>
    <w:p>
      <w:pPr>
        <w:pStyle w:val="5"/>
        <w:ind w:firstLine="420"/>
        <w:rPr>
          <w:rFonts w:hint="default" w:ascii="仿宋_GB2312" w:hAnsi="仿宋_GB2312" w:eastAsia="仿宋_GB2312" w:cs="仿宋_GB2312"/>
          <w:kern w:val="2"/>
          <w:sz w:val="32"/>
          <w:szCs w:val="32"/>
          <w:lang w:val="en-US"/>
        </w:rPr>
      </w:pPr>
      <w:r>
        <w:rPr>
          <w:rFonts w:hint="eastAsia" w:ascii="仿宋_GB2312" w:hAnsi="仿宋_GB2312" w:eastAsia="仿宋_GB2312" w:cs="仿宋_GB2312"/>
          <w:b w:val="0"/>
          <w:bCs w:val="0"/>
          <w:kern w:val="2"/>
          <w:sz w:val="32"/>
          <w:szCs w:val="32"/>
          <w:lang w:val="en-US" w:eastAsia="zh-CN"/>
        </w:rPr>
        <w:t>联系人：</w:t>
      </w:r>
      <w:r>
        <w:rPr>
          <w:rFonts w:hint="eastAsia" w:ascii="仿宋_GB2312" w:hAnsi="仿宋_GB2312" w:eastAsia="仿宋_GB2312" w:cs="仿宋_GB2312"/>
          <w:b w:val="0"/>
          <w:sz w:val="32"/>
          <w:szCs w:val="32"/>
          <w:highlight w:val="none"/>
          <w:lang w:val="en-US" w:eastAsia="zh-CN"/>
        </w:rPr>
        <w:t>危胜</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left="0" w:right="0" w:firstLine="640" w:firstLineChars="200"/>
        <w:textAlignment w:val="auto"/>
        <w:rPr>
          <w:rFonts w:hint="default"/>
          <w:b w:val="0"/>
          <w:bCs/>
          <w:highlight w:val="none"/>
          <w:lang w:val="en-US"/>
        </w:rPr>
      </w:pPr>
      <w:r>
        <w:rPr>
          <w:rFonts w:hint="eastAsia" w:ascii="仿宋_GB2312" w:hAnsi="仿宋_GB2312" w:eastAsia="仿宋_GB2312" w:cs="仿宋_GB2312"/>
          <w:b w:val="0"/>
          <w:bCs/>
          <w:kern w:val="2"/>
          <w:sz w:val="32"/>
          <w:szCs w:val="32"/>
          <w:lang w:val="en-US" w:eastAsia="zh-CN"/>
        </w:rPr>
        <w:t>联系电话：</w:t>
      </w:r>
      <w:r>
        <w:rPr>
          <w:rFonts w:hint="eastAsia" w:ascii="仿宋_GB2312" w:hAnsi="仿宋_GB2312" w:eastAsia="仿宋_GB2312" w:cs="仿宋_GB2312"/>
          <w:b w:val="0"/>
          <w:bCs/>
          <w:sz w:val="32"/>
          <w:szCs w:val="32"/>
          <w:highlight w:val="none"/>
          <w:lang w:val="en-US" w:eastAsia="zh-CN"/>
        </w:rPr>
        <w:t>18697236833</w:t>
      </w:r>
    </w:p>
    <w:p>
      <w:pPr>
        <w:pStyle w:val="5"/>
        <w:ind w:firstLine="420"/>
      </w:pPr>
    </w:p>
    <w:p>
      <w:pPr>
        <w:rPr>
          <w:rFonts w:hint="eastAsia"/>
        </w:rPr>
      </w:pPr>
      <w:r>
        <w:rPr>
          <w:rFonts w:hint="eastAsia"/>
        </w:rPr>
        <w:br w:type="page"/>
      </w:r>
    </w:p>
    <w:p>
      <w:pPr>
        <w:snapToGrid w:val="0"/>
        <w:spacing w:after="0" w:line="560" w:lineRule="exact"/>
        <w:ind w:firstLine="643" w:firstLineChars="200"/>
        <w:jc w:val="left"/>
        <w:rPr>
          <w:rFonts w:hint="default" w:ascii="黑体" w:hAnsi="黑体" w:eastAsia="黑体" w:cs="黑体"/>
          <w:b/>
          <w:bCs w:val="0"/>
          <w:kern w:val="0"/>
          <w:sz w:val="32"/>
          <w:szCs w:val="32"/>
          <w:highlight w:val="none"/>
          <w:lang w:val="en-US" w:eastAsia="zh-CN" w:bidi="ar"/>
        </w:rPr>
      </w:pPr>
      <w:r>
        <w:rPr>
          <w:rFonts w:hint="eastAsia" w:ascii="黑体" w:hAnsi="黑体" w:eastAsia="黑体" w:cs="黑体"/>
          <w:b/>
          <w:bCs w:val="0"/>
          <w:kern w:val="0"/>
          <w:sz w:val="32"/>
          <w:szCs w:val="32"/>
          <w:highlight w:val="none"/>
          <w:lang w:val="en-US" w:eastAsia="zh-CN" w:bidi="ar"/>
        </w:rPr>
        <w:t>项目3：硅芯焊接技术应用研究</w:t>
      </w:r>
    </w:p>
    <w:p>
      <w:pPr>
        <w:widowControl w:val="0"/>
        <w:autoSpaceDE w:val="0"/>
        <w:autoSpaceDN w:val="0"/>
        <w:adjustRightInd w:val="0"/>
        <w:spacing w:after="0" w:line="360" w:lineRule="auto"/>
        <w:ind w:firstLine="643" w:firstLineChars="200"/>
        <w:jc w:val="both"/>
        <w:textAlignment w:val="baseline"/>
        <w:outlineLvl w:val="0"/>
        <w:rPr>
          <w:rFonts w:hint="default" w:ascii="仿宋_GB2312" w:hAnsi="Calibri" w:eastAsia="仿宋_GB2312" w:cs="Times New Roman"/>
          <w:b/>
          <w:bCs/>
          <w:kern w:val="0"/>
          <w:sz w:val="32"/>
          <w:szCs w:val="24"/>
          <w:lang w:val="en-US" w:eastAsia="zh-CN" w:bidi="ar-SA"/>
        </w:rPr>
      </w:pPr>
      <w:r>
        <w:rPr>
          <w:rFonts w:hint="eastAsia" w:ascii="仿宋_GB2312" w:hAnsi="Calibri" w:eastAsia="仿宋_GB2312" w:cs="Times New Roman"/>
          <w:b/>
          <w:bCs/>
          <w:kern w:val="0"/>
          <w:sz w:val="32"/>
          <w:szCs w:val="24"/>
          <w:lang w:val="en-US" w:eastAsia="zh-CN" w:bidi="ar-SA"/>
        </w:rPr>
        <w:t>一、攻关难题和攻关内容</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bookmarkStart w:id="3" w:name="_Hlk127120172"/>
      <w:bookmarkStart w:id="4" w:name="_Hlk127132085"/>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val="en-US" w:eastAsia="zh-Hans"/>
        </w:rPr>
        <w:t>攻关难题</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在改良西门子法多晶硅生产工艺中，三氯氢硅被氢气还原后在硅芯表面连续沉积</w:t>
      </w:r>
      <w:r>
        <w:rPr>
          <w:rFonts w:hint="eastAsia" w:ascii="仿宋_GB2312" w:hAnsi="仿宋_GB2312" w:cs="仿宋_GB2312"/>
          <w:b w:val="0"/>
          <w:kern w:val="2"/>
          <w:sz w:val="32"/>
          <w:szCs w:val="32"/>
          <w:highlight w:val="none"/>
          <w:lang w:val="en-US" w:eastAsia="zh-CN" w:bidi="ar-SA"/>
        </w:rPr>
        <w:t>硅生产</w:t>
      </w:r>
      <w:r>
        <w:rPr>
          <w:rFonts w:hint="eastAsia" w:ascii="仿宋_GB2312" w:hAnsi="仿宋_GB2312" w:eastAsia="仿宋_GB2312" w:cs="仿宋_GB2312"/>
          <w:b w:val="0"/>
          <w:kern w:val="2"/>
          <w:sz w:val="32"/>
          <w:szCs w:val="32"/>
          <w:highlight w:val="none"/>
          <w:lang w:val="en-US" w:eastAsia="zh-CN" w:bidi="ar-SA"/>
        </w:rPr>
        <w:t>多晶硅,硅芯是硅沉积的载体。</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随着原生多晶硅棒切割技术的突破，还原炉将采用切割原生多晶硅棒制备的方硅芯。但原生多晶硅棒在切割前要去除上部的米花部分和下部的碳头部分，因此切割制备的硅芯长度不能满足还原炉的要求，需要对接后才能使用。</w:t>
      </w:r>
      <w:r>
        <w:rPr>
          <w:rFonts w:hint="eastAsia" w:ascii="仿宋_GB2312" w:hAnsi="仿宋_GB2312" w:cs="仿宋_GB2312"/>
          <w:b w:val="0"/>
          <w:kern w:val="2"/>
          <w:sz w:val="32"/>
          <w:szCs w:val="32"/>
          <w:highlight w:val="none"/>
          <w:lang w:val="en-US" w:eastAsia="zh-CN" w:bidi="ar-SA"/>
        </w:rPr>
        <w:t>此外</w:t>
      </w:r>
      <w:r>
        <w:rPr>
          <w:rFonts w:hint="eastAsia" w:ascii="仿宋_GB2312" w:hAnsi="仿宋_GB2312" w:eastAsia="仿宋_GB2312" w:cs="仿宋_GB2312"/>
          <w:b w:val="0"/>
          <w:kern w:val="2"/>
          <w:sz w:val="32"/>
          <w:szCs w:val="32"/>
          <w:highlight w:val="none"/>
          <w:lang w:val="en-US" w:eastAsia="zh-CN" w:bidi="ar-SA"/>
        </w:rPr>
        <w:t>，硅芯在加工、装炉、清洗、运转等过程中可能会断裂，造成了一定的浪费，通过对接可以实现断裂硅芯的再利用。</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目前通过将硅芯一端磨锥、一端打孔再承插后实现硅芯的对接。但硅芯通过这种方式对接后，硅芯安装难度较大、效率低，而且该方法对接的硅芯在垂直度、导通、稳定性等方面存在不足，在还原过程中容易导致倒棒。</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因此，如何实现硅芯的牢固对接，保证对接硅芯的质量及高强度、垂直度等性能指标，确保满足还原过程需求是当前急需攻关解决的难题，通过焊接技术可较好地解决该难题。</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cs="仿宋_GB2312"/>
          <w:b w:val="0"/>
          <w:kern w:val="2"/>
          <w:sz w:val="32"/>
          <w:szCs w:val="32"/>
          <w:highlight w:val="none"/>
          <w:lang w:val="en-US" w:eastAsia="zh-CN" w:bidi="ar-SA"/>
        </w:rPr>
        <w:t>（二）</w:t>
      </w:r>
      <w:r>
        <w:rPr>
          <w:rFonts w:hint="eastAsia" w:ascii="仿宋_GB2312" w:hAnsi="仿宋_GB2312" w:eastAsia="仿宋_GB2312" w:cs="仿宋_GB2312"/>
          <w:b w:val="0"/>
          <w:kern w:val="2"/>
          <w:sz w:val="32"/>
          <w:szCs w:val="32"/>
          <w:highlight w:val="none"/>
          <w:lang w:val="en-US" w:eastAsia="zh-CN" w:bidi="ar-SA"/>
        </w:rPr>
        <w:t>攻关内容</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1、开展硅芯（圆、方）焊接技术研究。</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2、试制一台硅芯焊接机，实现硅芯和硅芯的焊接。</w:t>
      </w:r>
    </w:p>
    <w:bookmarkEnd w:id="3"/>
    <w:bookmarkEnd w:id="4"/>
    <w:p>
      <w:pPr>
        <w:widowControl/>
        <w:numPr>
          <w:ilvl w:val="0"/>
          <w:numId w:val="0"/>
        </w:numPr>
        <w:tabs>
          <w:tab w:val="left" w:pos="360"/>
          <w:tab w:val="left" w:pos="1814"/>
        </w:tabs>
        <w:spacing w:line="360" w:lineRule="auto"/>
        <w:ind w:firstLine="643" w:firstLineChars="200"/>
        <w:jc w:val="both"/>
        <w:outlineLvl w:val="0"/>
        <w:rPr>
          <w:rFonts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二、攻关后希望达到的预期目标、技术指标、预期成果</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（一）预期目标</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研制一台硅芯焊接机，实现硅芯与硅芯的焊接。</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硅芯规格如下：</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Φ9-12mm圆硅芯，最大长度3.2m</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10×10mm-15×15mm方硅芯,最大长度3.2m</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（二）技术指标</w:t>
      </w:r>
    </w:p>
    <w:tbl>
      <w:tblPr>
        <w:tblStyle w:val="15"/>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1381"/>
        <w:gridCol w:w="4116"/>
        <w:gridCol w:w="2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blHeader/>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序号</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项目</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要求</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硅芯焊接时间</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硅芯与硅芯焊接时间（包括硅芯安装、取出、焊接、充气、抽真空等所有工序）≤12min</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焊接是指将硅芯连接处熔融后连接到一起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自动化程度</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除上下料外，其它工序均通过PLC系统控制全自动化运行。</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垂直度</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硅芯焊接后垂直度：90±0.5°</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焊接处杂质含量</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处碳杂质增加量不超过50%，硼杂质增加量不超过50%,磷杂质增加量不超过30%、砷杂质含量增量不超过20%，镓、锑杂质增加量不超过10%。体金属（锂、钠、镁、铝、钾、钙、钛、钒、铬、锰、钴、镍、锶、钼、银、钡、钨、铅）升高率不超过10%，体金属（铜、锌、铁）升高率不超过30%。</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牢固程度</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焊接处最小破坏扭矩≥50%焊接硅芯本身最小破坏扭矩</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导通率</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100%</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电阻偏差</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硅芯焊接处电阻与焊接前该区域电阻偏差率≤30%</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焊接端面质量</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焊接处尺寸偏差：±20%原尺寸</w:t>
            </w:r>
          </w:p>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同轴度≤1mm</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硅芯焊接时放置方式</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竖直</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保护气体</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氩气</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焊接方式</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高频加热熔接</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真空度</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绝对压力≤10Pa</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焊接合格率</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＞95%</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焊接合格是指垂直度、杂质含量、牢固程度、导通率、电阻偏差、焊接端面质量都满足本表中相关参数要求。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PLC品牌</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西门子、三菱、欧姆龙、ABB</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真空泵品牌、类型</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莱宝、爱发科、沃泰克干式螺杆真空泵</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气源组件品牌</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费斯托、SMC、亚德客、CKD</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气缸品牌</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亚德客、SMC、费斯托、CKD</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电气元件品牌</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施耐德、ABB、西门子、欧姆龙、富士</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驱动方式</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伺服电机</w:t>
            </w:r>
            <w:r>
              <w:rPr>
                <w:rFonts w:hint="eastAsia" w:ascii="仿宋_GB2312" w:hAnsi="仿宋_GB2312" w:cs="仿宋_GB2312"/>
                <w:i w:val="0"/>
                <w:iCs w:val="0"/>
                <w:color w:val="000000"/>
                <w:kern w:val="0"/>
                <w:sz w:val="24"/>
                <w:szCs w:val="24"/>
                <w:highlight w:val="none"/>
                <w:u w:val="none"/>
                <w:lang w:val="en-US" w:eastAsia="zh-CN" w:bidi="ar"/>
              </w:rPr>
              <w:t>驱动</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伺服电机品牌</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安川、西门子、台达、松下、三菱、汇川</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其它</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用于焊接的硅芯长度范围为100mm-3100mm，焊接位置可以调整，焊接对接后的硅芯长度达到3200mm。</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bl>
    <w:p>
      <w:pPr>
        <w:pStyle w:val="2"/>
        <w:numPr>
          <w:ilvl w:val="0"/>
          <w:numId w:val="0"/>
        </w:numPr>
        <w:rPr>
          <w:rFonts w:hint="default"/>
          <w:highlight w:val="none"/>
          <w:lang w:val="en-US" w:eastAsia="zh-CN"/>
        </w:rPr>
      </w:pP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（三）预期成果</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1、形成硅芯焊接技术研究报告。</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2、研制一台硅芯焊接机，实现硅芯与硅芯的焊接。</w:t>
      </w:r>
    </w:p>
    <w:p>
      <w:pPr>
        <w:widowControl w:val="0"/>
        <w:autoSpaceDE w:val="0"/>
        <w:autoSpaceDN w:val="0"/>
        <w:adjustRightInd w:val="0"/>
        <w:spacing w:after="0" w:line="360" w:lineRule="auto"/>
        <w:ind w:firstLine="643" w:firstLineChars="200"/>
        <w:jc w:val="both"/>
        <w:textAlignment w:val="baseline"/>
        <w:outlineLvl w:val="0"/>
        <w:rPr>
          <w:rFonts w:hint="eastAsia" w:ascii="仿宋_GB2312" w:hAnsi="Calibri" w:eastAsia="仿宋_GB2312" w:cs="Times New Roman"/>
          <w:b/>
          <w:bCs/>
          <w:kern w:val="0"/>
          <w:sz w:val="32"/>
          <w:szCs w:val="24"/>
          <w:lang w:val="en-US" w:eastAsia="zh-CN" w:bidi="ar-SA"/>
        </w:rPr>
      </w:pPr>
      <w:r>
        <w:rPr>
          <w:rFonts w:hint="eastAsia" w:ascii="仿宋_GB2312" w:hAnsi="Calibri" w:eastAsia="仿宋_GB2312" w:cs="Times New Roman"/>
          <w:b/>
          <w:bCs/>
          <w:kern w:val="0"/>
          <w:sz w:val="32"/>
          <w:szCs w:val="24"/>
          <w:lang w:val="en-US" w:eastAsia="zh-CN" w:bidi="ar-SA"/>
        </w:rPr>
        <w:t>三、对揭榜方要求</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Hans" w:bidi="ar-SA"/>
        </w:rPr>
      </w:pPr>
      <w:r>
        <w:rPr>
          <w:rFonts w:hint="eastAsia" w:ascii="仿宋_GB2312" w:hAnsi="仿宋_GB2312" w:eastAsia="仿宋_GB2312" w:cs="仿宋_GB2312"/>
          <w:b w:val="0"/>
          <w:kern w:val="2"/>
          <w:sz w:val="32"/>
          <w:szCs w:val="32"/>
          <w:highlight w:val="none"/>
          <w:lang w:val="en-US" w:eastAsia="zh-CN" w:bidi="ar-SA"/>
        </w:rPr>
        <w:t>（一）</w:t>
      </w:r>
      <w:r>
        <w:rPr>
          <w:rFonts w:hint="default" w:ascii="仿宋_GB2312" w:hAnsi="仿宋_GB2312" w:eastAsia="仿宋_GB2312" w:cs="仿宋_GB2312"/>
          <w:b w:val="0"/>
          <w:kern w:val="2"/>
          <w:sz w:val="32"/>
          <w:szCs w:val="32"/>
          <w:highlight w:val="none"/>
          <w:lang w:val="en-US" w:eastAsia="zh-CN" w:bidi="ar-SA"/>
        </w:rPr>
        <w:t>揭榜方基本要求</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揭榜方必须是在中华人民共和国市场监督管理部门注册的，具有独立法人和一般纳税人资格的，具备设备制造资质的企业（高校、科研院所）；应具有良好的企业信用，不存在被列为失信被执行人的情形；近三年财务和资信状况良好，没有财产被接管、冻结或处于亏损、破产状态，应提相关证明（如财务审计报告或报表、资信证明等）。</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揭榜方也可以以联合体形式揭榜。联合体中双方必须是在中华人民共和国市场监督管理部门注册的，具有独立法人和一般纳税人资格的企业（高校、科研院所），其中一方具备设备制造资质。双方应具有良好的企业信用，不存在被列为失信被执行人的情形；近三年财务和资信状况良好，没有财产被接管、冻结或处于亏损、破产状态，应提相关证明（如财务审计报告或报表、资信证明等）。</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（二）</w:t>
      </w:r>
      <w:r>
        <w:rPr>
          <w:rFonts w:hint="default" w:ascii="仿宋_GB2312" w:hAnsi="仿宋_GB2312" w:eastAsia="仿宋_GB2312" w:cs="仿宋_GB2312"/>
          <w:b w:val="0"/>
          <w:kern w:val="2"/>
          <w:sz w:val="32"/>
          <w:szCs w:val="32"/>
          <w:highlight w:val="none"/>
          <w:lang w:val="en-US" w:eastAsia="zh-CN" w:bidi="ar-SA"/>
        </w:rPr>
        <w:t>揭榜方</w:t>
      </w:r>
      <w:r>
        <w:rPr>
          <w:rFonts w:hint="eastAsia" w:ascii="仿宋_GB2312" w:hAnsi="仿宋_GB2312" w:eastAsia="仿宋_GB2312" w:cs="仿宋_GB2312"/>
          <w:b w:val="0"/>
          <w:kern w:val="2"/>
          <w:sz w:val="32"/>
          <w:szCs w:val="32"/>
          <w:highlight w:val="none"/>
          <w:lang w:val="en-US" w:eastAsia="zh-Hans" w:bidi="ar-SA"/>
        </w:rPr>
        <w:t>技术</w:t>
      </w:r>
      <w:r>
        <w:rPr>
          <w:rFonts w:hint="default" w:ascii="仿宋_GB2312" w:hAnsi="仿宋_GB2312" w:eastAsia="仿宋_GB2312" w:cs="仿宋_GB2312"/>
          <w:b w:val="0"/>
          <w:kern w:val="2"/>
          <w:sz w:val="32"/>
          <w:szCs w:val="32"/>
          <w:highlight w:val="none"/>
          <w:lang w:val="en-US" w:eastAsia="zh-CN" w:bidi="ar-SA"/>
        </w:rPr>
        <w:t>要求</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1、揭榜方在硅芯焊接领域已开展了较深入研究并取得了一定的突破性进展，具有较强的技术储备，掌握项目领域相关核心自主知识产权。</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2、揭榜方具备能够满足项目实施的相应规模和水平的研发实力、科研条件和科研队伍，揭榜的企业须注册成立三年以上。</w:t>
      </w:r>
    </w:p>
    <w:p>
      <w:pPr>
        <w:widowControl w:val="0"/>
        <w:autoSpaceDE w:val="0"/>
        <w:autoSpaceDN w:val="0"/>
        <w:adjustRightInd w:val="0"/>
        <w:spacing w:after="0" w:line="360" w:lineRule="auto"/>
        <w:ind w:firstLine="643" w:firstLineChars="200"/>
        <w:jc w:val="both"/>
        <w:textAlignment w:val="baseline"/>
        <w:rPr>
          <w:rFonts w:hint="default" w:ascii="仿宋_GB2312" w:hAnsi="仿宋_GB2312" w:eastAsia="仿宋_GB2312" w:cs="仿宋_GB2312"/>
          <w:b/>
          <w:bCs/>
          <w:kern w:val="0"/>
          <w:sz w:val="32"/>
          <w:szCs w:val="32"/>
          <w:lang w:val="en-US" w:eastAsia="zh-CN" w:bidi="ar-SA"/>
        </w:rPr>
      </w:pPr>
      <w:r>
        <w:rPr>
          <w:rFonts w:hint="default" w:ascii="仿宋_GB2312" w:hAnsi="仿宋_GB2312" w:eastAsia="仿宋_GB2312" w:cs="仿宋_GB2312"/>
          <w:b/>
          <w:bCs/>
          <w:kern w:val="0"/>
          <w:sz w:val="32"/>
          <w:szCs w:val="32"/>
          <w:lang w:val="en-US" w:eastAsia="zh-CN" w:bidi="ar-SA"/>
        </w:rPr>
        <w:t>四、项目研究合作模式</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（一）合作模式</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委托开发模式</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（二）产权</w:t>
      </w:r>
      <w:r>
        <w:rPr>
          <w:rFonts w:hint="default" w:ascii="仿宋_GB2312" w:hAnsi="仿宋_GB2312" w:eastAsia="仿宋_GB2312" w:cs="仿宋_GB2312"/>
          <w:b w:val="0"/>
          <w:kern w:val="2"/>
          <w:sz w:val="32"/>
          <w:szCs w:val="32"/>
          <w:highlight w:val="none"/>
          <w:lang w:val="en-US" w:eastAsia="zh-CN" w:bidi="ar-SA"/>
        </w:rPr>
        <w:t>归属</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1、发榜方总体负责项目管理、审核研究技术路线、定期组织召开项目实施进度专题会，提供焊接试验所需硅芯。</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2、揭榜方负责制定硅芯焊接的研究方案，经发榜方审核通过后组织实施，完成硅芯焊接设备制造，研制的硅芯焊接设备归属发榜方所有。</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3、发榜方支付本项目开发费用，项目所形成的工艺技术、参数、专利、论文等技术成果及知识产权归属发榜方所有。</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4、双方需就项目研究过程中所涉及的所有技术资料签订专项保密协议并履行保密义务。</w:t>
      </w:r>
    </w:p>
    <w:p>
      <w:pPr>
        <w:widowControl/>
        <w:numPr>
          <w:ilvl w:val="0"/>
          <w:numId w:val="5"/>
        </w:numPr>
        <w:tabs>
          <w:tab w:val="left" w:pos="360"/>
          <w:tab w:val="left" w:pos="1814"/>
        </w:tabs>
        <w:spacing w:line="360" w:lineRule="auto"/>
        <w:ind w:firstLine="643" w:firstLineChars="200"/>
        <w:jc w:val="both"/>
        <w:outlineLvl w:val="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经费预算</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总经费控制在80万元以内。</w:t>
      </w:r>
    </w:p>
    <w:p>
      <w:pPr>
        <w:widowControl w:val="0"/>
        <w:numPr>
          <w:ilvl w:val="0"/>
          <w:numId w:val="5"/>
        </w:numPr>
        <w:autoSpaceDE w:val="0"/>
        <w:autoSpaceDN w:val="0"/>
        <w:adjustRightInd w:val="0"/>
        <w:spacing w:after="0" w:line="360" w:lineRule="auto"/>
        <w:ind w:left="0" w:leftChars="0" w:firstLine="643" w:firstLineChars="200"/>
        <w:jc w:val="both"/>
        <w:textAlignment w:val="baseline"/>
        <w:outlineLvl w:val="0"/>
        <w:rPr>
          <w:rFonts w:hint="eastAsia" w:ascii="仿宋_GB2312" w:hAnsi="Calibri" w:eastAsia="仿宋_GB2312" w:cs="Times New Roman"/>
          <w:b/>
          <w:bCs/>
          <w:kern w:val="0"/>
          <w:sz w:val="32"/>
          <w:szCs w:val="24"/>
          <w:lang w:val="en-US" w:eastAsia="zh-CN" w:bidi="ar-SA"/>
        </w:rPr>
      </w:pPr>
      <w:r>
        <w:rPr>
          <w:rFonts w:hint="eastAsia" w:ascii="仿宋_GB2312" w:hAnsi="Calibri" w:eastAsia="仿宋_GB2312" w:cs="Times New Roman"/>
          <w:b/>
          <w:bCs/>
          <w:kern w:val="0"/>
          <w:sz w:val="32"/>
          <w:szCs w:val="24"/>
          <w:lang w:val="en-US" w:eastAsia="zh-CN" w:bidi="ar-SA"/>
        </w:rPr>
        <w:t>研究周期</w:t>
      </w:r>
    </w:p>
    <w:p>
      <w:pPr>
        <w:widowControl w:val="0"/>
        <w:autoSpaceDE w:val="0"/>
        <w:autoSpaceDN w:val="0"/>
        <w:adjustRightInd w:val="0"/>
        <w:spacing w:after="0" w:line="360" w:lineRule="auto"/>
        <w:ind w:firstLine="640" w:firstLineChars="200"/>
        <w:jc w:val="both"/>
        <w:textAlignment w:val="baseline"/>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签订合同后-</w:t>
      </w:r>
      <w:r>
        <w:rPr>
          <w:rFonts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月</w:t>
      </w:r>
    </w:p>
    <w:p>
      <w:pPr>
        <w:widowControl w:val="0"/>
        <w:autoSpaceDE w:val="0"/>
        <w:autoSpaceDN w:val="0"/>
        <w:adjustRightInd w:val="0"/>
        <w:spacing w:after="0" w:line="360" w:lineRule="auto"/>
        <w:ind w:firstLine="643" w:firstLineChars="200"/>
        <w:jc w:val="both"/>
        <w:textAlignment w:val="baseline"/>
        <w:outlineLvl w:val="0"/>
        <w:rPr>
          <w:rFonts w:hint="default" w:ascii="仿宋_GB2312" w:hAnsi="Calibri" w:eastAsia="仿宋_GB2312" w:cs="Times New Roman"/>
          <w:b/>
          <w:bCs/>
          <w:kern w:val="0"/>
          <w:sz w:val="32"/>
          <w:szCs w:val="24"/>
          <w:lang w:val="en-US" w:eastAsia="zh-CN" w:bidi="ar-SA"/>
        </w:rPr>
      </w:pPr>
      <w:r>
        <w:rPr>
          <w:rFonts w:hint="eastAsia" w:ascii="仿宋_GB2312" w:hAnsi="Calibri" w:eastAsia="仿宋_GB2312" w:cs="Times New Roman"/>
          <w:b/>
          <w:bCs/>
          <w:kern w:val="0"/>
          <w:sz w:val="32"/>
          <w:szCs w:val="24"/>
          <w:lang w:val="en-US" w:eastAsia="zh-CN" w:bidi="ar-SA"/>
        </w:rPr>
        <w:t>七、项目联系人及电话</w:t>
      </w:r>
    </w:p>
    <w:p>
      <w:pPr>
        <w:widowControl/>
        <w:numPr>
          <w:ilvl w:val="1"/>
          <w:numId w:val="0"/>
        </w:numPr>
        <w:tabs>
          <w:tab w:val="left" w:pos="360"/>
          <w:tab w:val="left" w:pos="1814"/>
        </w:tabs>
        <w:spacing w:line="360" w:lineRule="auto"/>
        <w:ind w:left="640"/>
        <w:jc w:val="both"/>
        <w:rPr>
          <w:rFonts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项目联系人：</w:t>
      </w:r>
      <w:r>
        <w:rPr>
          <w:rFonts w:hint="eastAsia" w:ascii="仿宋_GB2312" w:hAnsi="仿宋_GB2312" w:eastAsia="仿宋_GB2312" w:cs="仿宋_GB2312"/>
          <w:b w:val="0"/>
          <w:bCs/>
          <w:color w:val="auto"/>
          <w:kern w:val="2"/>
          <w:sz w:val="32"/>
          <w:szCs w:val="32"/>
          <w:highlight w:val="none"/>
          <w:lang w:val="en-US" w:eastAsia="zh-CN" w:bidi="ar-SA"/>
        </w:rPr>
        <w:t>杜斌功</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kern w:val="2"/>
          <w:sz w:val="32"/>
          <w:szCs w:val="32"/>
          <w:lang w:val="en-US" w:eastAsia="zh-CN" w:bidi="ar-SA"/>
        </w:rPr>
        <w:t>联系电话：</w:t>
      </w:r>
      <w:r>
        <w:rPr>
          <w:rFonts w:hint="eastAsia" w:ascii="仿宋_GB2312" w:hAnsi="仿宋_GB2312" w:eastAsia="仿宋_GB2312" w:cs="仿宋_GB2312"/>
          <w:b w:val="0"/>
          <w:bCs/>
          <w:color w:val="auto"/>
          <w:kern w:val="2"/>
          <w:sz w:val="32"/>
          <w:szCs w:val="32"/>
          <w:highlight w:val="none"/>
          <w:lang w:val="en-US" w:eastAsia="zh-CN" w:bidi="ar-SA"/>
        </w:rPr>
        <w:t>18797374690</w:t>
      </w:r>
    </w:p>
    <w:p>
      <w:pPr>
        <w:rPr>
          <w:rFonts w:hint="eastAsia"/>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3FAE66-4E2F-4172-84B5-E6187E4AC6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4DCDF2-DA8B-4649-BB89-19AE1C00C899}"/>
  </w:font>
  <w:font w:name="仿宋_GB2312">
    <w:panose1 w:val="02010609030101010101"/>
    <w:charset w:val="86"/>
    <w:family w:val="auto"/>
    <w:pitch w:val="default"/>
    <w:sig w:usb0="00000001" w:usb1="080E0000" w:usb2="00000000" w:usb3="00000000" w:csb0="00040000" w:csb1="00000000"/>
    <w:embedRegular r:id="rId3" w:fontKey="{9FA4A18F-E56E-49FF-B48B-38B64C930F23}"/>
  </w:font>
  <w:font w:name="方正小标宋简体">
    <w:altName w:val="仿宋_GB2312"/>
    <w:panose1 w:val="02010601030101010101"/>
    <w:charset w:val="86"/>
    <w:family w:val="auto"/>
    <w:pitch w:val="default"/>
    <w:sig w:usb0="00000000" w:usb1="00000000" w:usb2="00000000" w:usb3="00000000" w:csb0="00040000" w:csb1="00000000"/>
    <w:embedRegular r:id="rId4" w:fontKey="{3450A257-FC6E-44DA-B12D-9A022A4CCF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4E478"/>
    <w:multiLevelType w:val="singleLevel"/>
    <w:tmpl w:val="D5D4E478"/>
    <w:lvl w:ilvl="0" w:tentative="0">
      <w:start w:val="5"/>
      <w:numFmt w:val="chineseCounting"/>
      <w:suff w:val="nothing"/>
      <w:lvlText w:val="%1、"/>
      <w:lvlJc w:val="left"/>
      <w:rPr>
        <w:rFonts w:hint="eastAsia"/>
      </w:rPr>
    </w:lvl>
  </w:abstractNum>
  <w:abstractNum w:abstractNumId="1">
    <w:nsid w:val="1CB3EC42"/>
    <w:multiLevelType w:val="singleLevel"/>
    <w:tmpl w:val="1CB3EC42"/>
    <w:lvl w:ilvl="0" w:tentative="0">
      <w:start w:val="5"/>
      <w:numFmt w:val="chineseCounting"/>
      <w:suff w:val="nothing"/>
      <w:lvlText w:val="%1、"/>
      <w:lvlJc w:val="left"/>
      <w:rPr>
        <w:rFonts w:hint="eastAsia"/>
      </w:rPr>
    </w:lvl>
  </w:abstractNum>
  <w:abstractNum w:abstractNumId="2">
    <w:nsid w:val="31EC58CF"/>
    <w:multiLevelType w:val="multilevel"/>
    <w:tmpl w:val="31EC58CF"/>
    <w:lvl w:ilvl="0" w:tentative="0">
      <w:start w:val="1"/>
      <w:numFmt w:val="decimal"/>
      <w:pStyle w:val="9"/>
      <w:lvlText w:val="2.3.6.%1"/>
      <w:lvlJc w:val="left"/>
      <w:pPr>
        <w:tabs>
          <w:tab w:val="left" w:pos="720"/>
        </w:tabs>
        <w:ind w:left="0" w:firstLine="0"/>
      </w:pPr>
      <w:rPr>
        <w:rFonts w:hint="eastAsia"/>
      </w:rPr>
    </w:lvl>
    <w:lvl w:ilvl="1" w:tentative="0">
      <w:start w:val="1"/>
      <w:numFmt w:val="decimal"/>
      <w:lvlText w:val="%1.%2"/>
      <w:lvlJc w:val="left"/>
      <w:pPr>
        <w:tabs>
          <w:tab w:val="left" w:pos="360"/>
        </w:tabs>
        <w:ind w:left="0" w:firstLine="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358A2FA3"/>
    <w:multiLevelType w:val="multilevel"/>
    <w:tmpl w:val="358A2FA3"/>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2"/>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abstractNum w:abstractNumId="4">
    <w:nsid w:val="46335E6F"/>
    <w:multiLevelType w:val="multilevel"/>
    <w:tmpl w:val="46335E6F"/>
    <w:lvl w:ilvl="0" w:tentative="0">
      <w:start w:val="1"/>
      <w:numFmt w:val="decimal"/>
      <w:pStyle w:val="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172A27"/>
    <w:rsid w:val="08D73FD6"/>
    <w:rsid w:val="09BF760C"/>
    <w:rsid w:val="0DF04D08"/>
    <w:rsid w:val="0FA41914"/>
    <w:rsid w:val="109F438E"/>
    <w:rsid w:val="11F13058"/>
    <w:rsid w:val="138A5B68"/>
    <w:rsid w:val="16310B0A"/>
    <w:rsid w:val="171A3E54"/>
    <w:rsid w:val="19270E02"/>
    <w:rsid w:val="1B5407F3"/>
    <w:rsid w:val="1D627735"/>
    <w:rsid w:val="20066E3A"/>
    <w:rsid w:val="253B4E8A"/>
    <w:rsid w:val="262E6E4C"/>
    <w:rsid w:val="29D313B7"/>
    <w:rsid w:val="2B0C0F7B"/>
    <w:rsid w:val="2EB57234"/>
    <w:rsid w:val="2EC6267F"/>
    <w:rsid w:val="2F786BD3"/>
    <w:rsid w:val="33C341A1"/>
    <w:rsid w:val="5A9118FE"/>
    <w:rsid w:val="5A985DA7"/>
    <w:rsid w:val="5B975D90"/>
    <w:rsid w:val="607B205E"/>
    <w:rsid w:val="618E553F"/>
    <w:rsid w:val="64EA1E18"/>
    <w:rsid w:val="674C6DED"/>
    <w:rsid w:val="6BD319C4"/>
    <w:rsid w:val="6D733C10"/>
    <w:rsid w:val="70AD7A7D"/>
    <w:rsid w:val="794A389B"/>
    <w:rsid w:val="79BB167D"/>
    <w:rsid w:val="7AA50BB0"/>
    <w:rsid w:val="7BFE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customStyle="1" w:styleId="2">
    <w:name w:val="引言二级条标题"/>
    <w:basedOn w:val="3"/>
    <w:next w:val="5"/>
    <w:autoRedefine/>
    <w:qFormat/>
    <w:uiPriority w:val="0"/>
    <w:pPr>
      <w:numPr>
        <w:ilvl w:val="1"/>
        <w:numId w:val="1"/>
      </w:numPr>
      <w:tabs>
        <w:tab w:val="left" w:pos="360"/>
      </w:tabs>
    </w:pPr>
  </w:style>
  <w:style w:type="paragraph" w:customStyle="1" w:styleId="3">
    <w:name w:val="引言一级条标题"/>
    <w:basedOn w:val="4"/>
    <w:next w:val="5"/>
    <w:qFormat/>
    <w:uiPriority w:val="0"/>
    <w:pPr>
      <w:widowControl/>
      <w:numPr>
        <w:ilvl w:val="0"/>
        <w:numId w:val="2"/>
      </w:numPr>
    </w:pPr>
    <w:rPr>
      <w:rFonts w:ascii="Times New Roman" w:hAnsi="Times New Roman" w:eastAsia="黑体"/>
      <w:b/>
    </w:rPr>
  </w:style>
  <w:style w:type="paragraph" w:customStyle="1" w:styleId="4">
    <w:name w:val="正文_0"/>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段"/>
    <w:basedOn w:val="6"/>
    <w:next w:val="1"/>
    <w:autoRedefine/>
    <w:unhideWhenUsed/>
    <w:qFormat/>
    <w:uiPriority w:val="0"/>
    <w:pPr>
      <w:autoSpaceDE w:val="0"/>
      <w:autoSpaceDN w:val="0"/>
      <w:spacing w:after="200" w:line="276" w:lineRule="auto"/>
      <w:ind w:firstLine="200" w:firstLineChars="200"/>
      <w:jc w:val="both"/>
    </w:pPr>
    <w:rPr>
      <w:rFonts w:hint="eastAsia" w:ascii="宋体" w:hAnsi="Calibri" w:eastAsia="宋体" w:cs="Times New Roman"/>
      <w:sz w:val="21"/>
      <w:szCs w:val="24"/>
      <w:lang w:val="en-US" w:eastAsia="zh-CN" w:bidi="ar-SA"/>
    </w:rPr>
  </w:style>
  <w:style w:type="paragraph" w:styleId="6">
    <w:name w:val="Plain Text"/>
    <w:basedOn w:val="1"/>
    <w:next w:val="1"/>
    <w:autoRedefine/>
    <w:qFormat/>
    <w:uiPriority w:val="0"/>
    <w:rPr>
      <w:rFonts w:ascii="宋体" w:hAnsi="Courier New" w:eastAsia="宋体"/>
      <w:sz w:val="21"/>
      <w:szCs w:val="20"/>
    </w:rPr>
  </w:style>
  <w:style w:type="paragraph" w:styleId="7">
    <w:name w:val="Normal Indent"/>
    <w:basedOn w:val="1"/>
    <w:qFormat/>
    <w:uiPriority w:val="99"/>
    <w:pPr>
      <w:widowControl w:val="0"/>
      <w:ind w:firstLine="420"/>
      <w:jc w:val="both"/>
    </w:pPr>
    <w:rPr>
      <w:sz w:val="21"/>
      <w:szCs w:val="21"/>
    </w:rPr>
  </w:style>
  <w:style w:type="paragraph" w:styleId="8">
    <w:name w:val="Body Text"/>
    <w:basedOn w:val="1"/>
    <w:next w:val="9"/>
    <w:autoRedefine/>
    <w:qFormat/>
    <w:uiPriority w:val="0"/>
    <w:pPr>
      <w:spacing w:line="252" w:lineRule="auto"/>
      <w:jc w:val="left"/>
    </w:pPr>
    <w:rPr>
      <w:rFonts w:ascii="Arial" w:hAnsi="Arial"/>
      <w:kern w:val="0"/>
      <w:szCs w:val="21"/>
    </w:rPr>
  </w:style>
  <w:style w:type="paragraph" w:styleId="9">
    <w:name w:val="Body Text Indent"/>
    <w:basedOn w:val="1"/>
    <w:next w:val="1"/>
    <w:autoRedefine/>
    <w:qFormat/>
    <w:uiPriority w:val="0"/>
    <w:pPr>
      <w:numPr>
        <w:ilvl w:val="0"/>
        <w:numId w:val="3"/>
      </w:numPr>
      <w:spacing w:line="360" w:lineRule="auto"/>
      <w:ind w:left="718" w:leftChars="342" w:firstLine="2"/>
    </w:pPr>
    <w:rPr>
      <w:rFonts w:ascii="宋体" w:hAnsi="宋体"/>
      <w:color w:val="000000"/>
      <w:kern w:val="0"/>
      <w:sz w:val="24"/>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unhideWhenUsed/>
    <w:qFormat/>
    <w:uiPriority w:val="99"/>
    <w:pPr>
      <w:widowControl/>
      <w:spacing w:before="100" w:beforeAutospacing="1" w:after="100" w:afterAutospacing="1" w:line="240" w:lineRule="auto"/>
      <w:jc w:val="left"/>
    </w:pPr>
    <w:rPr>
      <w:rFonts w:ascii="宋体" w:hAnsi="宋体" w:cs="宋体"/>
      <w:kern w:val="0"/>
      <w:sz w:val="24"/>
    </w:rPr>
  </w:style>
  <w:style w:type="paragraph" w:styleId="13">
    <w:name w:val="Title"/>
    <w:basedOn w:val="1"/>
    <w:next w:val="1"/>
    <w:qFormat/>
    <w:uiPriority w:val="0"/>
    <w:pPr>
      <w:widowControl/>
    </w:pPr>
    <w:rPr>
      <w:rFonts w:cs="Arial"/>
      <w:bCs/>
      <w:color w:val="000000"/>
      <w:kern w:val="0"/>
      <w:szCs w:val="32"/>
    </w:rPr>
  </w:style>
  <w:style w:type="paragraph" w:styleId="14">
    <w:name w:val="Body Text First Indent"/>
    <w:basedOn w:val="8"/>
    <w:next w:val="1"/>
    <w:autoRedefine/>
    <w:qFormat/>
    <w:uiPriority w:val="0"/>
    <w:pPr>
      <w:spacing w:after="120" w:line="360" w:lineRule="auto"/>
      <w:ind w:firstLine="420" w:firstLineChars="100"/>
      <w:jc w:val="both"/>
    </w:pPr>
    <w:rPr>
      <w:rFonts w:ascii="Times New Roman" w:hAnsi="Times New Roman"/>
      <w:kern w:val="2"/>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nt11"/>
    <w:basedOn w:val="17"/>
    <w:autoRedefine/>
    <w:qFormat/>
    <w:uiPriority w:val="0"/>
    <w:rPr>
      <w:rFonts w:hint="eastAsia" w:ascii="宋体" w:hAnsi="宋体" w:eastAsia="宋体" w:cs="宋体"/>
      <w:color w:val="000000"/>
      <w:sz w:val="28"/>
      <w:szCs w:val="28"/>
      <w:u w:val="none"/>
    </w:rPr>
  </w:style>
  <w:style w:type="character" w:customStyle="1" w:styleId="19">
    <w:name w:val="font01"/>
    <w:basedOn w:val="17"/>
    <w:autoRedefine/>
    <w:qFormat/>
    <w:uiPriority w:val="0"/>
    <w:rPr>
      <w:rFonts w:hint="eastAsia" w:ascii="宋体" w:hAnsi="宋体" w:eastAsia="宋体" w:cs="宋体"/>
      <w:color w:val="000000"/>
      <w:sz w:val="28"/>
      <w:szCs w:val="28"/>
      <w:u w:val="none"/>
    </w:rPr>
  </w:style>
  <w:style w:type="paragraph" w:customStyle="1" w:styleId="20">
    <w:name w:val="中等深浅网格 1 - 强调文字颜色 21"/>
    <w:basedOn w:val="1"/>
    <w:autoRedefine/>
    <w:qFormat/>
    <w:uiPriority w:val="0"/>
    <w:pPr>
      <w:spacing w:after="0" w:line="240" w:lineRule="auto"/>
      <w:ind w:firstLine="420" w:firstLineChars="200"/>
    </w:pPr>
    <w:rPr>
      <w:rFonts w:ascii="Times New Roman" w:hAnsi="Times New Roman"/>
      <w:szCs w:val="20"/>
    </w:rPr>
  </w:style>
  <w:style w:type="paragraph" w:styleId="21">
    <w:name w:val="List Paragraph"/>
    <w:autoRedefine/>
    <w:qFormat/>
    <w:uiPriority w:val="34"/>
    <w:pPr>
      <w:widowControl w:val="0"/>
      <w:spacing w:after="0" w:line="240" w:lineRule="auto"/>
      <w:ind w:firstLine="420" w:firstLineChars="200"/>
      <w:jc w:val="both"/>
    </w:pPr>
    <w:rPr>
      <w:rFonts w:ascii="Calibri" w:hAnsi="Calibri" w:eastAsia="宋体" w:cs="Times New Roman"/>
      <w:kern w:val="2"/>
      <w:sz w:val="21"/>
      <w:szCs w:val="22"/>
      <w:lang w:val="en-US" w:eastAsia="zh-CN" w:bidi="ar-SA"/>
    </w:rPr>
  </w:style>
  <w:style w:type="table" w:customStyle="1" w:styleId="22">
    <w:name w:val="Table Normal"/>
    <w:autoRedefine/>
    <w:unhideWhenUsed/>
    <w:qFormat/>
    <w:uiPriority w:val="0"/>
    <w:tblPr>
      <w:tblCellMar>
        <w:top w:w="0" w:type="dxa"/>
        <w:left w:w="0" w:type="dxa"/>
        <w:bottom w:w="0" w:type="dxa"/>
        <w:right w:w="0" w:type="dxa"/>
      </w:tblCellMar>
    </w:tblPr>
  </w:style>
  <w:style w:type="paragraph" w:customStyle="1" w:styleId="23">
    <w:name w:val="_Style 2"/>
    <w:basedOn w:val="1"/>
    <w:autoRedefine/>
    <w:qFormat/>
    <w:uiPriority w:val="0"/>
    <w:pPr>
      <w:spacing w:after="0"/>
      <w:ind w:firstLine="420" w:firstLineChars="200"/>
    </w:pPr>
  </w:style>
  <w:style w:type="paragraph" w:customStyle="1" w:styleId="24">
    <w:name w:val="1.1.1.1"/>
    <w:basedOn w:val="1"/>
    <w:autoRedefine/>
    <w:qFormat/>
    <w:uiPriority w:val="0"/>
    <w:pPr>
      <w:tabs>
        <w:tab w:val="left" w:pos="26875"/>
      </w:tabs>
      <w:autoSpaceDE w:val="0"/>
      <w:autoSpaceDN w:val="0"/>
      <w:adjustRightInd w:val="0"/>
      <w:spacing w:before="60" w:after="60" w:line="360" w:lineRule="atLeast"/>
      <w:ind w:left="1134" w:hanging="1134"/>
    </w:pPr>
    <w:rPr>
      <w:rFonts w:ascii="Arial" w:hAnsi="Arial" w:cs="Arial"/>
      <w:sz w:val="24"/>
    </w:rPr>
  </w:style>
  <w:style w:type="character" w:customStyle="1" w:styleId="25">
    <w:name w:val="font21"/>
    <w:basedOn w:val="17"/>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5397</Words>
  <Characters>5695</Characters>
  <Lines>0</Lines>
  <Paragraphs>0</Paragraphs>
  <TotalTime>1</TotalTime>
  <ScaleCrop>false</ScaleCrop>
  <LinksUpToDate>false</LinksUpToDate>
  <CharactersWithSpaces>5695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2022-06-06T09:32:00Z</dcterms:created>
  <dc:creator>Deli</dc:creator>
  <cp:lastModifiedBy>Administrator</cp:lastModifiedBy>
  <dcterms:modified xsi:type="dcterms:W3CDTF">2024-05-27T03:33:55Z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389AA59F902F4B7C842DE1FB708E8469_13</vt:lpwstr>
  </property>
</Properties>
</file>