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61B1" w:rsidRDefault="00CA1259">
      <w:pPr>
        <w:tabs>
          <w:tab w:val="left" w:pos="1134"/>
        </w:tabs>
        <w:adjustRightInd w:val="0"/>
        <w:snapToGrid w:val="0"/>
        <w:spacing w:line="400" w:lineRule="exact"/>
        <w:ind w:firstLineChars="200" w:firstLine="422"/>
        <w:rPr>
          <w:color w:val="000000" w:themeColor="text1"/>
        </w:rPr>
      </w:pPr>
      <w:r>
        <w:rPr>
          <w:rFonts w:ascii="黑体" w:eastAsia="黑体" w:hAnsi="黑体" w:cs="黑体" w:hint="eastAsia"/>
          <w:b/>
          <w:bCs/>
          <w:color w:val="000000" w:themeColor="text1"/>
        </w:rPr>
        <w:t>招标公告</w:t>
      </w:r>
      <w:r>
        <w:rPr>
          <w:rFonts w:ascii="黑体" w:eastAsia="黑体" w:hAnsi="黑体" w:cs="黑体"/>
          <w:b/>
          <w:bCs/>
          <w:color w:val="000000" w:themeColor="text1"/>
        </w:rPr>
        <w:t>附件</w:t>
      </w:r>
    </w:p>
    <w:p w:rsidR="000D61B1" w:rsidRDefault="000D61B1">
      <w:pPr>
        <w:pStyle w:val="21"/>
        <w:spacing w:line="400" w:lineRule="exact"/>
        <w:rPr>
          <w:rFonts w:cs="宋体"/>
          <w:color w:val="000000" w:themeColor="text1"/>
          <w:kern w:val="2"/>
          <w:sz w:val="21"/>
          <w:lang w:val="en-US"/>
        </w:rPr>
      </w:pPr>
    </w:p>
    <w:p w:rsidR="000D61B1" w:rsidRDefault="00CA1259">
      <w:pPr>
        <w:pStyle w:val="21"/>
        <w:rPr>
          <w:rFonts w:ascii="黑体" w:eastAsia="黑体" w:hAnsi="黑体" w:cs="黑体"/>
          <w:b/>
          <w:bCs/>
          <w:color w:val="000000"/>
          <w:kern w:val="2"/>
          <w:sz w:val="24"/>
          <w:szCs w:val="24"/>
          <w:lang w:val="en-US"/>
        </w:rPr>
      </w:pPr>
      <w:r>
        <w:rPr>
          <w:rFonts w:ascii="黑体" w:eastAsia="黑体" w:hAnsi="黑体" w:cs="黑体" w:hint="eastAsia"/>
          <w:b/>
          <w:bCs/>
          <w:color w:val="000000"/>
          <w:kern w:val="2"/>
          <w:sz w:val="24"/>
          <w:szCs w:val="24"/>
          <w:lang w:val="en-US"/>
        </w:rPr>
        <w:t>附件</w:t>
      </w:r>
      <w:r>
        <w:rPr>
          <w:rFonts w:ascii="黑体" w:eastAsia="黑体" w:hAnsi="黑体" w:cs="黑体" w:hint="eastAsia"/>
          <w:b/>
          <w:bCs/>
          <w:color w:val="000000"/>
          <w:kern w:val="2"/>
          <w:sz w:val="24"/>
          <w:szCs w:val="24"/>
          <w:lang w:val="en-US"/>
        </w:rPr>
        <w:t>1</w:t>
      </w:r>
      <w:r>
        <w:rPr>
          <w:rFonts w:ascii="黑体" w:eastAsia="黑体" w:hAnsi="黑体" w:cs="黑体" w:hint="eastAsia"/>
          <w:b/>
          <w:bCs/>
          <w:color w:val="000000"/>
          <w:kern w:val="2"/>
          <w:sz w:val="24"/>
          <w:szCs w:val="24"/>
          <w:lang w:val="en-US"/>
        </w:rPr>
        <w:t>：专用资质业绩要求</w:t>
      </w:r>
    </w:p>
    <w:p w:rsidR="000D61B1" w:rsidRDefault="000D61B1">
      <w:pPr>
        <w:pStyle w:val="21"/>
        <w:rPr>
          <w:rFonts w:ascii="黑体" w:eastAsia="黑体" w:hAnsi="黑体" w:cs="黑体"/>
          <w:b/>
          <w:bCs/>
          <w:color w:val="000000"/>
          <w:kern w:val="2"/>
          <w:sz w:val="24"/>
          <w:szCs w:val="24"/>
          <w:lang w:val="en-US"/>
        </w:rPr>
      </w:pPr>
    </w:p>
    <w:tbl>
      <w:tblPr>
        <w:tblW w:w="14386" w:type="dxa"/>
        <w:tblLayout w:type="fixed"/>
        <w:tblLook w:val="04A0"/>
      </w:tblPr>
      <w:tblGrid>
        <w:gridCol w:w="569"/>
        <w:gridCol w:w="1397"/>
        <w:gridCol w:w="866"/>
        <w:gridCol w:w="866"/>
        <w:gridCol w:w="1458"/>
        <w:gridCol w:w="4071"/>
        <w:gridCol w:w="1276"/>
        <w:gridCol w:w="2814"/>
        <w:gridCol w:w="1069"/>
      </w:tblGrid>
      <w:tr w:rsidR="000D61B1">
        <w:trPr>
          <w:trHeight w:val="810"/>
          <w:tblHeader/>
        </w:trPr>
        <w:tc>
          <w:tcPr>
            <w:tcW w:w="5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1B1" w:rsidRDefault="00CA1259">
            <w:pPr>
              <w:widowControl/>
              <w:jc w:val="center"/>
              <w:textAlignment w:val="center"/>
              <w:rPr>
                <w:b/>
                <w:bCs/>
                <w:color w:val="000000"/>
              </w:rPr>
            </w:pPr>
            <w:r>
              <w:rPr>
                <w:rFonts w:hint="eastAsia"/>
                <w:b/>
                <w:bCs/>
                <w:color w:val="000000"/>
                <w:kern w:val="0"/>
                <w:lang/>
              </w:rPr>
              <w:t>序号</w:t>
            </w:r>
          </w:p>
        </w:tc>
        <w:tc>
          <w:tcPr>
            <w:tcW w:w="13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1B1" w:rsidRDefault="00CA1259">
            <w:pPr>
              <w:widowControl/>
              <w:jc w:val="center"/>
              <w:textAlignment w:val="center"/>
              <w:rPr>
                <w:b/>
                <w:bCs/>
                <w:color w:val="000000"/>
              </w:rPr>
            </w:pPr>
            <w:r>
              <w:rPr>
                <w:rFonts w:hint="eastAsia"/>
                <w:b/>
                <w:bCs/>
                <w:color w:val="000000"/>
                <w:kern w:val="0"/>
                <w:lang/>
              </w:rPr>
              <w:t>标段名称</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1B1" w:rsidRDefault="00CA1259">
            <w:pPr>
              <w:widowControl/>
              <w:jc w:val="center"/>
              <w:textAlignment w:val="center"/>
              <w:rPr>
                <w:b/>
                <w:bCs/>
                <w:color w:val="000000"/>
              </w:rPr>
            </w:pPr>
            <w:r>
              <w:rPr>
                <w:rFonts w:hint="eastAsia"/>
                <w:b/>
                <w:bCs/>
                <w:color w:val="000000"/>
                <w:kern w:val="0"/>
                <w:lang/>
              </w:rPr>
              <w:t>包号</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1B1" w:rsidRDefault="00CA1259">
            <w:pPr>
              <w:widowControl/>
              <w:jc w:val="center"/>
              <w:textAlignment w:val="center"/>
            </w:pPr>
            <w:r>
              <w:rPr>
                <w:rFonts w:hint="eastAsia"/>
                <w:b/>
                <w:bCs/>
                <w:color w:val="000000"/>
                <w:kern w:val="0"/>
                <w:lang/>
              </w:rPr>
              <w:t>资格审查方式</w:t>
            </w:r>
          </w:p>
        </w:tc>
        <w:tc>
          <w:tcPr>
            <w:tcW w:w="14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1B1" w:rsidRDefault="00CA1259">
            <w:pPr>
              <w:widowControl/>
              <w:jc w:val="center"/>
              <w:textAlignment w:val="center"/>
              <w:rPr>
                <w:b/>
                <w:bCs/>
                <w:color w:val="000000"/>
              </w:rPr>
            </w:pPr>
            <w:r>
              <w:rPr>
                <w:rFonts w:hint="eastAsia"/>
                <w:b/>
                <w:bCs/>
                <w:color w:val="000000"/>
                <w:kern w:val="0"/>
                <w:lang/>
              </w:rPr>
              <w:t>近三年业绩要求</w:t>
            </w:r>
          </w:p>
        </w:tc>
        <w:tc>
          <w:tcPr>
            <w:tcW w:w="40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1B1" w:rsidRDefault="00CA1259">
            <w:pPr>
              <w:widowControl/>
              <w:jc w:val="center"/>
              <w:textAlignment w:val="center"/>
              <w:rPr>
                <w:b/>
                <w:bCs/>
                <w:color w:val="000000"/>
              </w:rPr>
            </w:pPr>
            <w:r>
              <w:rPr>
                <w:rFonts w:hint="eastAsia"/>
                <w:b/>
                <w:bCs/>
                <w:color w:val="000000"/>
                <w:kern w:val="0"/>
                <w:lang/>
              </w:rPr>
              <w:t>针对本次招标产品的型式试验报告或检测报告或鉴定报告</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1B1" w:rsidRDefault="00CA1259">
            <w:pPr>
              <w:widowControl/>
              <w:jc w:val="center"/>
              <w:textAlignment w:val="center"/>
              <w:rPr>
                <w:b/>
                <w:bCs/>
                <w:color w:val="000000"/>
              </w:rPr>
            </w:pPr>
            <w:r>
              <w:rPr>
                <w:rFonts w:hint="eastAsia"/>
                <w:b/>
                <w:bCs/>
                <w:color w:val="000000"/>
                <w:kern w:val="0"/>
                <w:lang/>
              </w:rPr>
              <w:t>生产许可证或检测合格证（入网许可证）</w:t>
            </w:r>
          </w:p>
        </w:tc>
        <w:tc>
          <w:tcPr>
            <w:tcW w:w="28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1B1" w:rsidRDefault="00CA1259">
            <w:pPr>
              <w:widowControl/>
              <w:jc w:val="center"/>
              <w:textAlignment w:val="center"/>
              <w:rPr>
                <w:b/>
                <w:bCs/>
                <w:color w:val="000000"/>
              </w:rPr>
            </w:pPr>
            <w:r>
              <w:rPr>
                <w:rFonts w:hint="eastAsia"/>
                <w:b/>
                <w:bCs/>
                <w:color w:val="000000"/>
                <w:kern w:val="0"/>
                <w:lang/>
              </w:rPr>
              <w:t>生产试验装备</w:t>
            </w:r>
          </w:p>
        </w:tc>
        <w:tc>
          <w:tcPr>
            <w:tcW w:w="10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1B1" w:rsidRDefault="00CA1259">
            <w:pPr>
              <w:widowControl/>
              <w:jc w:val="center"/>
              <w:textAlignment w:val="center"/>
              <w:rPr>
                <w:b/>
                <w:bCs/>
                <w:color w:val="000000"/>
              </w:rPr>
            </w:pPr>
            <w:r>
              <w:rPr>
                <w:rFonts w:hint="eastAsia"/>
                <w:b/>
                <w:bCs/>
                <w:color w:val="000000"/>
                <w:kern w:val="0"/>
                <w:lang/>
              </w:rPr>
              <w:t>其他资质要求</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1</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10kV</w:t>
            </w:r>
            <w:r>
              <w:rPr>
                <w:rFonts w:hint="eastAsia"/>
                <w:color w:val="000000"/>
                <w:kern w:val="0"/>
                <w:lang/>
              </w:rPr>
              <w:t>变压器</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年配网物资协议库存联合资格预审项目中“</w:t>
            </w:r>
            <w:r>
              <w:rPr>
                <w:rFonts w:hint="eastAsia"/>
                <w:color w:val="000000"/>
                <w:kern w:val="0"/>
                <w:lang/>
              </w:rPr>
              <w:t>10kV</w:t>
            </w:r>
            <w:r>
              <w:rPr>
                <w:rFonts w:hint="eastAsia"/>
                <w:color w:val="000000"/>
                <w:kern w:val="0"/>
                <w:lang/>
              </w:rPr>
              <w:t>变压器（硅钢片干式），</w:t>
            </w:r>
            <w:r>
              <w:rPr>
                <w:rFonts w:hint="eastAsia"/>
                <w:color w:val="000000"/>
                <w:kern w:val="0"/>
                <w:lang/>
              </w:rPr>
              <w:t>30-500kVA</w:t>
            </w:r>
            <w:r>
              <w:rPr>
                <w:rFonts w:hint="eastAsia"/>
                <w:color w:val="000000"/>
                <w:kern w:val="0"/>
                <w:lang/>
              </w:rPr>
              <w:t>”、“</w:t>
            </w:r>
            <w:r>
              <w:rPr>
                <w:rFonts w:hint="eastAsia"/>
                <w:color w:val="000000"/>
                <w:kern w:val="0"/>
                <w:lang/>
              </w:rPr>
              <w:t>10kV</w:t>
            </w:r>
            <w:r>
              <w:rPr>
                <w:rFonts w:hint="eastAsia"/>
                <w:color w:val="000000"/>
                <w:kern w:val="0"/>
                <w:lang/>
              </w:rPr>
              <w:t>变压器（硅钢片干式），</w:t>
            </w:r>
            <w:r>
              <w:rPr>
                <w:rFonts w:hint="eastAsia"/>
                <w:color w:val="000000"/>
                <w:kern w:val="0"/>
                <w:lang/>
              </w:rPr>
              <w:t>630-1000kVA</w:t>
            </w:r>
            <w:r>
              <w:rPr>
                <w:rFonts w:hint="eastAsia"/>
                <w:color w:val="000000"/>
                <w:kern w:val="0"/>
                <w:lang/>
              </w:rPr>
              <w:t>”及“</w:t>
            </w:r>
            <w:r>
              <w:rPr>
                <w:rFonts w:hint="eastAsia"/>
                <w:color w:val="000000"/>
                <w:kern w:val="0"/>
                <w:lang/>
              </w:rPr>
              <w:t>10kV</w:t>
            </w:r>
            <w:r>
              <w:rPr>
                <w:rFonts w:hint="eastAsia"/>
                <w:color w:val="000000"/>
                <w:kern w:val="0"/>
                <w:lang/>
              </w:rPr>
              <w:t>变压器（硅钢片干式），</w:t>
            </w:r>
            <w:r>
              <w:rPr>
                <w:rFonts w:hint="eastAsia"/>
                <w:color w:val="000000"/>
                <w:kern w:val="0"/>
                <w:lang/>
              </w:rPr>
              <w:t>1250-2500kVA</w:t>
            </w:r>
            <w:r>
              <w:rPr>
                <w:rFonts w:hint="eastAsia"/>
                <w:color w:val="000000"/>
                <w:kern w:val="0"/>
                <w:lang/>
              </w:rPr>
              <w:t>”标段预审同时合格。并提供满足国标</w:t>
            </w:r>
            <w:r>
              <w:rPr>
                <w:rFonts w:hint="eastAsia"/>
                <w:color w:val="000000"/>
                <w:kern w:val="0"/>
                <w:lang/>
              </w:rPr>
              <w:t>2</w:t>
            </w:r>
            <w:r>
              <w:rPr>
                <w:rFonts w:hint="eastAsia"/>
                <w:color w:val="000000"/>
                <w:kern w:val="0"/>
                <w:lang/>
              </w:rPr>
              <w:t>级及以上能效要求的有效型式试验报告或配套配电变压器提供满足国标</w:t>
            </w:r>
            <w:r>
              <w:rPr>
                <w:rFonts w:hint="eastAsia"/>
                <w:color w:val="000000"/>
                <w:kern w:val="0"/>
                <w:lang/>
              </w:rPr>
              <w:t>2</w:t>
            </w:r>
            <w:r>
              <w:rPr>
                <w:rFonts w:hint="eastAsia"/>
                <w:color w:val="000000"/>
                <w:kern w:val="0"/>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2</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10kV</w:t>
            </w:r>
            <w:r>
              <w:rPr>
                <w:rFonts w:hint="eastAsia"/>
                <w:color w:val="000000"/>
                <w:kern w:val="0"/>
                <w:lang/>
              </w:rPr>
              <w:t>变压器</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2-</w:t>
            </w:r>
            <w:r>
              <w:rPr>
                <w:rFonts w:hint="eastAsia"/>
                <w:color w:val="000000"/>
                <w:kern w:val="0"/>
                <w:lang/>
              </w:rPr>
              <w:t>包</w:t>
            </w:r>
            <w:r>
              <w:rPr>
                <w:rFonts w:hint="eastAsia"/>
                <w:color w:val="000000"/>
                <w:kern w:val="0"/>
                <w:lang/>
              </w:rPr>
              <w:t>3</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年配网物资协议库存联合资格预审项目中“</w:t>
            </w:r>
            <w:r>
              <w:rPr>
                <w:rFonts w:hint="eastAsia"/>
                <w:color w:val="000000"/>
                <w:kern w:val="0"/>
                <w:lang/>
              </w:rPr>
              <w:t>10kV</w:t>
            </w:r>
            <w:r>
              <w:rPr>
                <w:rFonts w:hint="eastAsia"/>
                <w:color w:val="000000"/>
                <w:kern w:val="0"/>
                <w:lang/>
              </w:rPr>
              <w:t>变压器（非晶合金油浸，立体卷铁心）”标段合格。并提供满足国标</w:t>
            </w:r>
            <w:r>
              <w:rPr>
                <w:rFonts w:hint="eastAsia"/>
                <w:color w:val="000000"/>
                <w:kern w:val="0"/>
                <w:lang/>
              </w:rPr>
              <w:t>2</w:t>
            </w:r>
            <w:r>
              <w:rPr>
                <w:rFonts w:hint="eastAsia"/>
                <w:color w:val="000000"/>
                <w:kern w:val="0"/>
                <w:lang/>
              </w:rPr>
              <w:t>级及以上能效要求的有效型式试验报告或配套配电变压器提供满足国标</w:t>
            </w:r>
            <w:r>
              <w:rPr>
                <w:rFonts w:hint="eastAsia"/>
                <w:color w:val="000000"/>
                <w:kern w:val="0"/>
                <w:lang/>
              </w:rPr>
              <w:t>2</w:t>
            </w:r>
            <w:r>
              <w:rPr>
                <w:rFonts w:hint="eastAsia"/>
                <w:color w:val="000000"/>
                <w:kern w:val="0"/>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3</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10kV</w:t>
            </w:r>
            <w:r>
              <w:rPr>
                <w:rFonts w:hint="eastAsia"/>
                <w:color w:val="000000"/>
                <w:kern w:val="0"/>
                <w:lang/>
              </w:rPr>
              <w:t>变压器</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4-</w:t>
            </w:r>
            <w:r>
              <w:rPr>
                <w:rFonts w:hint="eastAsia"/>
                <w:color w:val="000000"/>
                <w:kern w:val="0"/>
                <w:lang/>
              </w:rPr>
              <w:t>包</w:t>
            </w:r>
            <w:r>
              <w:rPr>
                <w:rFonts w:hint="eastAsia"/>
                <w:color w:val="000000"/>
                <w:kern w:val="0"/>
                <w:lang/>
              </w:rPr>
              <w:t>11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年配网物资协议库存联合资格预审项目中“</w:t>
            </w:r>
            <w:r>
              <w:rPr>
                <w:rFonts w:hint="eastAsia"/>
                <w:color w:val="000000"/>
                <w:kern w:val="0"/>
                <w:lang/>
              </w:rPr>
              <w:t>10kV</w:t>
            </w:r>
            <w:r>
              <w:rPr>
                <w:rFonts w:hint="eastAsia"/>
                <w:color w:val="000000"/>
                <w:kern w:val="0"/>
                <w:lang/>
              </w:rPr>
              <w:t>变压器（硅钢片油浸）”标段预审合格。并提供满足国标</w:t>
            </w:r>
            <w:r>
              <w:rPr>
                <w:rFonts w:hint="eastAsia"/>
                <w:color w:val="000000"/>
                <w:kern w:val="0"/>
                <w:lang/>
              </w:rPr>
              <w:t>2</w:t>
            </w:r>
            <w:r>
              <w:rPr>
                <w:rFonts w:hint="eastAsia"/>
                <w:color w:val="000000"/>
                <w:kern w:val="0"/>
                <w:lang/>
              </w:rPr>
              <w:t>级及以上能效要求的有效型式试验报告或配套配电变压器提供满足国标</w:t>
            </w:r>
            <w:r>
              <w:rPr>
                <w:rFonts w:hint="eastAsia"/>
                <w:color w:val="000000"/>
                <w:kern w:val="0"/>
                <w:lang/>
              </w:rPr>
              <w:t>2</w:t>
            </w:r>
            <w:r>
              <w:rPr>
                <w:rFonts w:hint="eastAsia"/>
                <w:color w:val="000000"/>
                <w:kern w:val="0"/>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4</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箱式变电站</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r>
              <w:rPr>
                <w:rFonts w:hint="eastAsia"/>
                <w:color w:val="000000"/>
                <w:kern w:val="0"/>
                <w:lang/>
              </w:rPr>
              <w:t>包</w:t>
            </w:r>
            <w:r>
              <w:rPr>
                <w:rFonts w:hint="eastAsia"/>
                <w:color w:val="000000"/>
                <w:kern w:val="0"/>
                <w:lang/>
              </w:rPr>
              <w:t>10</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w:t>
            </w:r>
            <w:r>
              <w:rPr>
                <w:rFonts w:hint="eastAsia"/>
                <w:color w:val="000000"/>
                <w:kern w:val="0"/>
                <w:lang/>
              </w:rPr>
              <w:t>10kV</w:t>
            </w:r>
            <w:r>
              <w:rPr>
                <w:rFonts w:hint="eastAsia"/>
                <w:color w:val="000000"/>
                <w:kern w:val="0"/>
                <w:lang/>
              </w:rPr>
              <w:t>箱式变电站（欧式，硅钢片）”标段预审合格。并提供满足国标</w:t>
            </w:r>
            <w:r>
              <w:rPr>
                <w:rFonts w:hint="eastAsia"/>
                <w:color w:val="000000"/>
                <w:kern w:val="0"/>
                <w:lang/>
              </w:rPr>
              <w:t>2</w:t>
            </w:r>
            <w:r>
              <w:rPr>
                <w:rFonts w:hint="eastAsia"/>
                <w:color w:val="000000"/>
                <w:kern w:val="0"/>
                <w:lang/>
              </w:rPr>
              <w:t>级及以上能效要求的有效型式试验报告或配套配电变压器提供满足国标</w:t>
            </w:r>
            <w:r>
              <w:rPr>
                <w:rFonts w:hint="eastAsia"/>
                <w:color w:val="000000"/>
                <w:kern w:val="0"/>
                <w:lang/>
              </w:rPr>
              <w:t>2</w:t>
            </w:r>
            <w:r>
              <w:rPr>
                <w:rFonts w:hint="eastAsia"/>
                <w:color w:val="000000"/>
                <w:kern w:val="0"/>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5</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交流避雷器</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r>
              <w:rPr>
                <w:rFonts w:hint="eastAsia"/>
                <w:color w:val="000000"/>
                <w:kern w:val="0"/>
                <w:lang/>
              </w:rPr>
              <w:t>包</w:t>
            </w:r>
            <w:r>
              <w:rPr>
                <w:rFonts w:hint="eastAsia"/>
                <w:color w:val="000000"/>
                <w:kern w:val="0"/>
                <w:lang/>
              </w:rPr>
              <w:t>6</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w:t>
            </w:r>
            <w:r>
              <w:rPr>
                <w:rFonts w:hint="eastAsia"/>
                <w:color w:val="000000"/>
                <w:kern w:val="0"/>
                <w:lang/>
              </w:rPr>
              <w:t>10kV</w:t>
            </w:r>
            <w:r>
              <w:rPr>
                <w:rFonts w:hint="eastAsia"/>
                <w:color w:val="000000"/>
                <w:kern w:val="0"/>
                <w:lang/>
              </w:rPr>
              <w:t>交流避雷器”标段预审合格。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6</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高压熔断器</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w:t>
            </w:r>
            <w:r>
              <w:rPr>
                <w:rFonts w:hint="eastAsia"/>
                <w:color w:val="000000"/>
                <w:kern w:val="0"/>
                <w:lang/>
              </w:rPr>
              <w:t>10kV</w:t>
            </w:r>
            <w:r>
              <w:rPr>
                <w:rFonts w:hint="eastAsia"/>
                <w:color w:val="000000"/>
                <w:kern w:val="0"/>
                <w:lang/>
              </w:rPr>
              <w:t>高压熔断器（跌落式，</w:t>
            </w:r>
            <w:r>
              <w:rPr>
                <w:rFonts w:hint="eastAsia"/>
                <w:color w:val="000000"/>
                <w:kern w:val="0"/>
                <w:lang/>
              </w:rPr>
              <w:t>100A</w:t>
            </w:r>
            <w:r>
              <w:rPr>
                <w:rFonts w:hint="eastAsia"/>
                <w:color w:val="000000"/>
                <w:kern w:val="0"/>
                <w:lang/>
              </w:rPr>
              <w:t>）”“</w:t>
            </w:r>
            <w:r>
              <w:rPr>
                <w:rFonts w:hint="eastAsia"/>
                <w:color w:val="000000"/>
                <w:kern w:val="0"/>
                <w:lang/>
              </w:rPr>
              <w:t>10kV</w:t>
            </w:r>
            <w:r>
              <w:rPr>
                <w:rFonts w:hint="eastAsia"/>
                <w:color w:val="000000"/>
                <w:kern w:val="0"/>
                <w:lang/>
              </w:rPr>
              <w:t>高压熔断器（跌落式，</w:t>
            </w:r>
            <w:r>
              <w:rPr>
                <w:rFonts w:hint="eastAsia"/>
                <w:color w:val="000000"/>
                <w:kern w:val="0"/>
                <w:lang/>
              </w:rPr>
              <w:t>200A</w:t>
            </w:r>
            <w:r>
              <w:rPr>
                <w:rFonts w:hint="eastAsia"/>
                <w:color w:val="000000"/>
                <w:kern w:val="0"/>
                <w:lang/>
              </w:rPr>
              <w:t>）”标段预审同时合格。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7</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高压熔断器</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2</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资格后审</w:t>
            </w:r>
          </w:p>
        </w:tc>
        <w:tc>
          <w:tcPr>
            <w:tcW w:w="1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1500</w:t>
            </w:r>
            <w:r>
              <w:rPr>
                <w:rFonts w:hint="eastAsia"/>
                <w:color w:val="000000"/>
                <w:kern w:val="0"/>
                <w:lang/>
              </w:rPr>
              <w:t>只</w:t>
            </w:r>
          </w:p>
        </w:tc>
        <w:tc>
          <w:tcPr>
            <w:tcW w:w="4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提供国家认可的第三方权威检测机构出具的有效的型式试验报告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w:t>
            </w:r>
          </w:p>
        </w:tc>
        <w:tc>
          <w:tcPr>
            <w:tcW w:w="2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冲压设备、专用装配设备、调试工作台。</w:t>
            </w:r>
          </w:p>
          <w:p w:rsidR="000D61B1" w:rsidRDefault="00CA1259">
            <w:pPr>
              <w:widowControl/>
              <w:jc w:val="left"/>
              <w:textAlignment w:val="center"/>
              <w:rPr>
                <w:color w:val="000000"/>
                <w:kern w:val="0"/>
                <w:lang/>
              </w:rPr>
            </w:pPr>
            <w:r>
              <w:rPr>
                <w:rFonts w:hint="eastAsia"/>
                <w:color w:val="000000"/>
                <w:kern w:val="0"/>
                <w:lang/>
              </w:rPr>
              <w:t>工频耐压试验设备、触头接</w:t>
            </w:r>
            <w:r>
              <w:rPr>
                <w:rFonts w:hint="eastAsia"/>
                <w:color w:val="000000"/>
                <w:kern w:val="0"/>
                <w:lang/>
              </w:rPr>
              <w:lastRenderedPageBreak/>
              <w:t>触性能检验设备、熔断件静拉力试验设备</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lastRenderedPageBreak/>
              <w:t>/</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lastRenderedPageBreak/>
              <w:t>8</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柱上变压器台成套设备（油浸，硅钢片，立体卷铁芯）、</w:t>
            </w:r>
            <w:r>
              <w:rPr>
                <w:rFonts w:hint="eastAsia"/>
                <w:color w:val="000000"/>
                <w:kern w:val="0"/>
                <w:sz w:val="18"/>
                <w:szCs w:val="18"/>
                <w:lang/>
              </w:rPr>
              <w:t>10kV</w:t>
            </w:r>
            <w:r>
              <w:rPr>
                <w:rFonts w:hint="eastAsia"/>
                <w:color w:val="000000"/>
                <w:kern w:val="0"/>
                <w:sz w:val="18"/>
                <w:szCs w:val="18"/>
                <w:lang/>
              </w:rPr>
              <w:t>柱上变压器台成套设备（油浸，非晶合金）、</w:t>
            </w:r>
            <w:r>
              <w:rPr>
                <w:rFonts w:hint="eastAsia"/>
                <w:color w:val="000000"/>
                <w:kern w:val="0"/>
                <w:sz w:val="18"/>
                <w:szCs w:val="18"/>
                <w:lang/>
              </w:rPr>
              <w:t>10kV</w:t>
            </w:r>
            <w:r>
              <w:rPr>
                <w:rFonts w:hint="eastAsia"/>
                <w:color w:val="000000"/>
                <w:kern w:val="0"/>
                <w:sz w:val="18"/>
                <w:szCs w:val="18"/>
                <w:lang/>
              </w:rPr>
              <w:t>柱上变压器台成套设备（油浸，硅钢片，叠铁芯）”标段预审同时合格。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9</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2</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柱上变压器台成套设备（油浸，硅钢</w:t>
            </w:r>
            <w:r>
              <w:rPr>
                <w:rFonts w:hint="eastAsia"/>
                <w:color w:val="000000"/>
                <w:kern w:val="0"/>
                <w:sz w:val="18"/>
                <w:szCs w:val="18"/>
                <w:lang/>
              </w:rPr>
              <w:t>片，叠铁芯）”标段预审合格。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10</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3</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柱上变压器台成套设备（油浸，硅钢片，立体卷铁芯）、</w:t>
            </w:r>
            <w:r>
              <w:rPr>
                <w:rFonts w:hint="eastAsia"/>
                <w:color w:val="000000"/>
                <w:kern w:val="0"/>
                <w:sz w:val="18"/>
                <w:szCs w:val="18"/>
                <w:lang/>
              </w:rPr>
              <w:t>10kV</w:t>
            </w:r>
            <w:r>
              <w:rPr>
                <w:rFonts w:hint="eastAsia"/>
                <w:color w:val="000000"/>
                <w:kern w:val="0"/>
                <w:sz w:val="18"/>
                <w:szCs w:val="18"/>
                <w:lang/>
              </w:rPr>
              <w:t>柱上变压器台成套设备（油浸，非晶合金）”标段预审同时合格。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11</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4</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柱上变压器台成套设备（油浸，硅钢片，叠铁芯）”标段预审合格。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12</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5</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柱上变压器台成套设备（油浸，硅钢片，立体卷铁芯）、</w:t>
            </w:r>
            <w:r>
              <w:rPr>
                <w:rFonts w:hint="eastAsia"/>
                <w:color w:val="000000"/>
                <w:kern w:val="0"/>
                <w:sz w:val="18"/>
                <w:szCs w:val="18"/>
                <w:lang/>
              </w:rPr>
              <w:t>10kV</w:t>
            </w:r>
            <w:r>
              <w:rPr>
                <w:rFonts w:hint="eastAsia"/>
                <w:color w:val="000000"/>
                <w:kern w:val="0"/>
                <w:sz w:val="18"/>
                <w:szCs w:val="18"/>
                <w:lang/>
              </w:rPr>
              <w:t>柱上变压器台成套设备（油浸，硅钢片，叠铁芯）”标段预审同时合格。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13</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6</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柱上变压器台成套设备（油浸，非晶合金）”标段预审合格。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14</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7</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柱上变压器台成套设备（油浸，硅钢片，立体卷铁芯）、</w:t>
            </w:r>
            <w:r>
              <w:rPr>
                <w:rFonts w:hint="eastAsia"/>
                <w:color w:val="000000"/>
                <w:kern w:val="0"/>
                <w:sz w:val="18"/>
                <w:szCs w:val="18"/>
                <w:lang/>
              </w:rPr>
              <w:t>10kV</w:t>
            </w:r>
            <w:r>
              <w:rPr>
                <w:rFonts w:hint="eastAsia"/>
                <w:color w:val="000000"/>
                <w:kern w:val="0"/>
                <w:sz w:val="18"/>
                <w:szCs w:val="18"/>
                <w:lang/>
              </w:rPr>
              <w:t>柱上变压器台成套设备（油浸，非晶合金）、</w:t>
            </w:r>
            <w:r>
              <w:rPr>
                <w:rFonts w:hint="eastAsia"/>
                <w:color w:val="000000"/>
                <w:kern w:val="0"/>
                <w:sz w:val="18"/>
                <w:szCs w:val="18"/>
                <w:lang/>
              </w:rPr>
              <w:t>10kV</w:t>
            </w:r>
            <w:r>
              <w:rPr>
                <w:rFonts w:hint="eastAsia"/>
                <w:color w:val="000000"/>
                <w:kern w:val="0"/>
                <w:sz w:val="18"/>
                <w:szCs w:val="18"/>
                <w:lang/>
              </w:rPr>
              <w:t>柱上变压器台成套设备（油浸，硅钢片，叠铁芯）”标段预审同时合格。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w:t>
            </w:r>
            <w:r>
              <w:rPr>
                <w:rFonts w:hint="eastAsia"/>
                <w:color w:val="000000"/>
                <w:kern w:val="0"/>
                <w:sz w:val="18"/>
                <w:szCs w:val="18"/>
                <w:lang/>
              </w:rPr>
              <w:t>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15</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8</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柱上变压器台成套设备（油浸，非晶合金）”标段预审合格。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16</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9</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柱上变压器台成套设备（油浸，非晶合金）”标段预审合格。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17</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10</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柱上变压器台成套设备（油浸，硅钢片，立体卷铁芯）、</w:t>
            </w:r>
            <w:r>
              <w:rPr>
                <w:rFonts w:hint="eastAsia"/>
                <w:color w:val="000000"/>
                <w:kern w:val="0"/>
                <w:sz w:val="18"/>
                <w:szCs w:val="18"/>
                <w:lang/>
              </w:rPr>
              <w:t>10kV</w:t>
            </w:r>
            <w:r>
              <w:rPr>
                <w:rFonts w:hint="eastAsia"/>
                <w:color w:val="000000"/>
                <w:kern w:val="0"/>
                <w:sz w:val="18"/>
                <w:szCs w:val="18"/>
                <w:lang/>
              </w:rPr>
              <w:t>柱上变压器台成套设备（油浸，非晶合金）”标段预审同时合格。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lastRenderedPageBreak/>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lastRenderedPageBreak/>
              <w:t>18</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11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柱上变压器台成套设备（油浸，硅钢片，立体卷铁芯）、</w:t>
            </w:r>
            <w:r>
              <w:rPr>
                <w:rFonts w:hint="eastAsia"/>
                <w:color w:val="000000"/>
                <w:kern w:val="0"/>
                <w:sz w:val="18"/>
                <w:szCs w:val="18"/>
                <w:lang/>
              </w:rPr>
              <w:t>10kV</w:t>
            </w:r>
            <w:r>
              <w:rPr>
                <w:rFonts w:hint="eastAsia"/>
                <w:color w:val="000000"/>
                <w:kern w:val="0"/>
                <w:sz w:val="18"/>
                <w:szCs w:val="18"/>
                <w:lang/>
              </w:rPr>
              <w:t>柱上变压器台成套设备（油浸，非晶合金）、</w:t>
            </w:r>
            <w:r>
              <w:rPr>
                <w:rFonts w:hint="eastAsia"/>
                <w:color w:val="000000"/>
                <w:kern w:val="0"/>
                <w:sz w:val="18"/>
                <w:szCs w:val="18"/>
                <w:lang/>
              </w:rPr>
              <w:t>10kV</w:t>
            </w:r>
            <w:r>
              <w:rPr>
                <w:rFonts w:hint="eastAsia"/>
                <w:color w:val="000000"/>
                <w:kern w:val="0"/>
                <w:sz w:val="18"/>
                <w:szCs w:val="18"/>
                <w:lang/>
              </w:rPr>
              <w:t>柱上变压器台成套设备（油浸，硅钢片，叠铁芯）”标段预审同时合格。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19</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12</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柱上变压器台成套设备（油浸，硅钢片，立体卷铁芯）、</w:t>
            </w:r>
            <w:r>
              <w:rPr>
                <w:rFonts w:hint="eastAsia"/>
                <w:color w:val="000000"/>
                <w:kern w:val="0"/>
                <w:sz w:val="18"/>
                <w:szCs w:val="18"/>
                <w:lang/>
              </w:rPr>
              <w:t>10kV</w:t>
            </w:r>
            <w:r>
              <w:rPr>
                <w:rFonts w:hint="eastAsia"/>
                <w:color w:val="000000"/>
                <w:kern w:val="0"/>
                <w:sz w:val="18"/>
                <w:szCs w:val="18"/>
                <w:lang/>
              </w:rPr>
              <w:t>柱上变压器台成套设备（油浸，非晶合金）、</w:t>
            </w:r>
            <w:r>
              <w:rPr>
                <w:rFonts w:hint="eastAsia"/>
                <w:color w:val="000000"/>
                <w:kern w:val="0"/>
                <w:sz w:val="18"/>
                <w:szCs w:val="18"/>
                <w:lang/>
              </w:rPr>
              <w:t>10kV</w:t>
            </w:r>
            <w:r>
              <w:rPr>
                <w:rFonts w:hint="eastAsia"/>
                <w:color w:val="000000"/>
                <w:kern w:val="0"/>
                <w:sz w:val="18"/>
                <w:szCs w:val="18"/>
                <w:lang/>
              </w:rPr>
              <w:t>柱上变压器台成套设备（油浸，硅钢片，叠铁芯）”标段预审同时合格。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20</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13</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柱上变压器台成套设备（油浸，硅钢片，立体卷铁芯）、</w:t>
            </w:r>
            <w:r>
              <w:rPr>
                <w:rFonts w:hint="eastAsia"/>
                <w:color w:val="000000"/>
                <w:kern w:val="0"/>
                <w:sz w:val="18"/>
                <w:szCs w:val="18"/>
                <w:lang/>
              </w:rPr>
              <w:t>10kV</w:t>
            </w:r>
            <w:r>
              <w:rPr>
                <w:rFonts w:hint="eastAsia"/>
                <w:color w:val="000000"/>
                <w:kern w:val="0"/>
                <w:sz w:val="18"/>
                <w:szCs w:val="18"/>
                <w:lang/>
              </w:rPr>
              <w:t>柱上变压器台成套设备（油浸，非晶合金）、</w:t>
            </w:r>
            <w:r>
              <w:rPr>
                <w:rFonts w:hint="eastAsia"/>
                <w:color w:val="000000"/>
                <w:kern w:val="0"/>
                <w:sz w:val="18"/>
                <w:szCs w:val="18"/>
                <w:lang/>
              </w:rPr>
              <w:t>10kV</w:t>
            </w:r>
            <w:r>
              <w:rPr>
                <w:rFonts w:hint="eastAsia"/>
                <w:color w:val="000000"/>
                <w:kern w:val="0"/>
                <w:sz w:val="18"/>
                <w:szCs w:val="18"/>
                <w:lang/>
              </w:rPr>
              <w:t>柱上变压器台成套设备（油浸，硅钢片，叠铁芯）”标段预审同时合格。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21</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10kV</w:t>
            </w:r>
            <w:r>
              <w:rPr>
                <w:rFonts w:hint="eastAsia"/>
                <w:color w:val="000000"/>
                <w:kern w:val="0"/>
                <w:sz w:val="18"/>
                <w:szCs w:val="18"/>
                <w:lang/>
              </w:rPr>
              <w:t>柱上变压器台成套设备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包</w:t>
            </w:r>
            <w:r>
              <w:rPr>
                <w:rFonts w:hint="eastAsia"/>
                <w:color w:val="000000"/>
                <w:kern w:val="0"/>
                <w:sz w:val="18"/>
                <w:szCs w:val="18"/>
                <w:lang/>
              </w:rPr>
              <w:t>14</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spacing w:line="240" w:lineRule="exact"/>
              <w:jc w:val="left"/>
              <w:textAlignment w:val="center"/>
              <w:rPr>
                <w:color w:val="000000"/>
                <w:kern w:val="0"/>
                <w:sz w:val="18"/>
                <w:szCs w:val="18"/>
                <w:lang/>
              </w:rPr>
            </w:pPr>
            <w:r>
              <w:rPr>
                <w:rFonts w:hint="eastAsia"/>
                <w:color w:val="000000"/>
                <w:kern w:val="0"/>
                <w:sz w:val="18"/>
                <w:szCs w:val="18"/>
                <w:lang/>
              </w:rPr>
              <w:t>国家电网有限公司</w:t>
            </w:r>
            <w:r>
              <w:rPr>
                <w:rFonts w:hint="eastAsia"/>
                <w:color w:val="000000"/>
                <w:kern w:val="0"/>
                <w:sz w:val="18"/>
                <w:szCs w:val="18"/>
                <w:lang/>
              </w:rPr>
              <w:t>2022</w:t>
            </w:r>
            <w:r>
              <w:rPr>
                <w:rFonts w:hint="eastAsia"/>
                <w:color w:val="000000"/>
                <w:kern w:val="0"/>
                <w:sz w:val="18"/>
                <w:szCs w:val="18"/>
                <w:lang/>
              </w:rPr>
              <w:t>年配网物资协议库存招标联合资格预审中“</w:t>
            </w:r>
            <w:r>
              <w:rPr>
                <w:rFonts w:hint="eastAsia"/>
                <w:color w:val="000000"/>
                <w:kern w:val="0"/>
                <w:sz w:val="18"/>
                <w:szCs w:val="18"/>
                <w:lang/>
              </w:rPr>
              <w:t>10kV</w:t>
            </w:r>
            <w:r>
              <w:rPr>
                <w:rFonts w:hint="eastAsia"/>
                <w:color w:val="000000"/>
                <w:kern w:val="0"/>
                <w:sz w:val="18"/>
                <w:szCs w:val="18"/>
                <w:lang/>
              </w:rPr>
              <w:t>柱上变压器台成套设备（油浸，</w:t>
            </w:r>
            <w:r>
              <w:rPr>
                <w:rFonts w:hint="eastAsia"/>
                <w:color w:val="000000"/>
                <w:kern w:val="0"/>
                <w:sz w:val="18"/>
                <w:szCs w:val="18"/>
                <w:lang/>
              </w:rPr>
              <w:t>硅钢片，立体卷铁芯）、</w:t>
            </w:r>
            <w:r>
              <w:rPr>
                <w:rFonts w:hint="eastAsia"/>
                <w:color w:val="000000"/>
                <w:kern w:val="0"/>
                <w:sz w:val="18"/>
                <w:szCs w:val="18"/>
                <w:lang/>
              </w:rPr>
              <w:t>10kV</w:t>
            </w:r>
            <w:r>
              <w:rPr>
                <w:rFonts w:hint="eastAsia"/>
                <w:color w:val="000000"/>
                <w:kern w:val="0"/>
                <w:sz w:val="18"/>
                <w:szCs w:val="18"/>
                <w:lang/>
              </w:rPr>
              <w:t>柱上变压器台成套设备（油浸，非晶合金）、</w:t>
            </w:r>
            <w:r>
              <w:rPr>
                <w:rFonts w:hint="eastAsia"/>
                <w:color w:val="000000"/>
                <w:kern w:val="0"/>
                <w:sz w:val="18"/>
                <w:szCs w:val="18"/>
                <w:lang/>
              </w:rPr>
              <w:t>10kV</w:t>
            </w:r>
            <w:r>
              <w:rPr>
                <w:rFonts w:hint="eastAsia"/>
                <w:color w:val="000000"/>
                <w:kern w:val="0"/>
                <w:sz w:val="18"/>
                <w:szCs w:val="18"/>
                <w:lang/>
              </w:rPr>
              <w:t>柱上变压器台成套设备（油浸，硅钢片，叠铁芯）”标段预审同时合格。</w:t>
            </w:r>
          </w:p>
          <w:p w:rsidR="000D61B1" w:rsidRDefault="00CA1259">
            <w:pPr>
              <w:widowControl/>
              <w:spacing w:line="240" w:lineRule="exact"/>
              <w:jc w:val="left"/>
              <w:textAlignment w:val="center"/>
              <w:rPr>
                <w:color w:val="000000"/>
                <w:kern w:val="0"/>
                <w:lang/>
              </w:rPr>
            </w:pPr>
            <w:r>
              <w:rPr>
                <w:rFonts w:hint="eastAsia"/>
                <w:color w:val="000000"/>
                <w:kern w:val="0"/>
                <w:sz w:val="18"/>
                <w:szCs w:val="18"/>
                <w:lang/>
              </w:rPr>
              <w:t>提供满足国标</w:t>
            </w:r>
            <w:r>
              <w:rPr>
                <w:rFonts w:hint="eastAsia"/>
                <w:color w:val="000000"/>
                <w:kern w:val="0"/>
                <w:sz w:val="18"/>
                <w:szCs w:val="18"/>
                <w:lang/>
              </w:rPr>
              <w:t>2</w:t>
            </w:r>
            <w:r>
              <w:rPr>
                <w:rFonts w:hint="eastAsia"/>
                <w:color w:val="000000"/>
                <w:kern w:val="0"/>
                <w:sz w:val="18"/>
                <w:szCs w:val="18"/>
                <w:lang/>
              </w:rPr>
              <w:t>级及以上能效要求的有效型式试验报告或配套配电变压器提供满足国标</w:t>
            </w:r>
            <w:r>
              <w:rPr>
                <w:rFonts w:hint="eastAsia"/>
                <w:color w:val="000000"/>
                <w:kern w:val="0"/>
                <w:sz w:val="18"/>
                <w:szCs w:val="18"/>
                <w:lang/>
              </w:rPr>
              <w:t>2</w:t>
            </w:r>
            <w:r>
              <w:rPr>
                <w:rFonts w:hint="eastAsia"/>
                <w:color w:val="000000"/>
                <w:kern w:val="0"/>
                <w:sz w:val="18"/>
                <w:szCs w:val="18"/>
                <w:lang/>
              </w:rPr>
              <w:t>级及以上能效要求的有效型式试验报告。</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22</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一二次融合成套环网箱</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r>
              <w:rPr>
                <w:rFonts w:hint="eastAsia"/>
                <w:color w:val="000000"/>
                <w:kern w:val="0"/>
                <w:lang/>
              </w:rPr>
              <w:t>包</w:t>
            </w:r>
            <w:r>
              <w:rPr>
                <w:rFonts w:hint="eastAsia"/>
                <w:color w:val="000000"/>
                <w:kern w:val="0"/>
                <w:lang/>
              </w:rPr>
              <w:t>7</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资格后审</w:t>
            </w:r>
          </w:p>
        </w:tc>
        <w:tc>
          <w:tcPr>
            <w:tcW w:w="1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100</w:t>
            </w:r>
            <w:r>
              <w:rPr>
                <w:rFonts w:hint="eastAsia"/>
                <w:color w:val="000000"/>
                <w:kern w:val="0"/>
                <w:lang/>
              </w:rPr>
              <w:t>套</w:t>
            </w:r>
          </w:p>
        </w:tc>
        <w:tc>
          <w:tcPr>
            <w:tcW w:w="4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提供国家认可的第三方权威检测机构出具的有效的型式试验报告</w:t>
            </w:r>
          </w:p>
        </w:tc>
        <w:tc>
          <w:tcPr>
            <w:tcW w:w="1276" w:type="dxa"/>
            <w:tcBorders>
              <w:top w:val="single" w:sz="4" w:space="0" w:color="000000"/>
              <w:left w:val="single" w:sz="4" w:space="0" w:color="000000"/>
              <w:bottom w:val="single" w:sz="4" w:space="0" w:color="000000"/>
              <w:right w:val="single" w:sz="4" w:space="0" w:color="auto"/>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w:t>
            </w:r>
          </w:p>
        </w:tc>
        <w:tc>
          <w:tcPr>
            <w:tcW w:w="3883" w:type="dxa"/>
            <w:gridSpan w:val="2"/>
            <w:vMerge w:val="restart"/>
            <w:tcBorders>
              <w:top w:val="single" w:sz="4" w:space="0" w:color="000000"/>
              <w:left w:val="single" w:sz="4" w:space="0" w:color="auto"/>
              <w:right w:val="single" w:sz="4" w:space="0" w:color="000000"/>
            </w:tcBorders>
            <w:shd w:val="clear" w:color="auto" w:fill="auto"/>
            <w:noWrap/>
            <w:vAlign w:val="center"/>
          </w:tcPr>
          <w:p w:rsidR="000D61B1" w:rsidRDefault="000D61B1">
            <w:pPr>
              <w:widowControl/>
              <w:jc w:val="left"/>
              <w:textAlignment w:val="center"/>
              <w:rPr>
                <w:color w:val="000000"/>
                <w:kern w:val="0"/>
                <w:lang/>
              </w:rPr>
            </w:pPr>
          </w:p>
          <w:p w:rsidR="000D61B1" w:rsidRDefault="000D61B1">
            <w:pPr>
              <w:widowControl/>
              <w:jc w:val="left"/>
              <w:textAlignment w:val="center"/>
              <w:rPr>
                <w:color w:val="000000"/>
                <w:kern w:val="0"/>
                <w:lang/>
              </w:rPr>
            </w:pPr>
            <w:r w:rsidRPr="000D61B1">
              <w:rPr>
                <w:rFonts w:hint="eastAsia"/>
                <w:color w:val="000000"/>
                <w:kern w:val="0"/>
                <w:lang/>
              </w:rPr>
              <w:object w:dxaOrig="2354" w:dyaOrig="6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4.75pt;height:67.7pt" o:ole="">
                  <v:imagedata r:id="rId8" o:title=""/>
                </v:shape>
                <o:OLEObject Type="Embed" ProgID="Package" ShapeID="_x0000_i1025" DrawAspect="Content" ObjectID="_1762604590" r:id="rId9"/>
              </w:objec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23</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一二次融合成套柱上断路器</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r>
              <w:rPr>
                <w:rFonts w:hint="eastAsia"/>
                <w:color w:val="000000"/>
                <w:kern w:val="0"/>
                <w:lang/>
              </w:rPr>
              <w:t>包</w:t>
            </w:r>
            <w:r>
              <w:rPr>
                <w:rFonts w:hint="eastAsia"/>
                <w:color w:val="000000"/>
                <w:kern w:val="0"/>
                <w:lang/>
              </w:rPr>
              <w:t>9</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6805" w:type="dxa"/>
            <w:gridSpan w:val="3"/>
            <w:tcBorders>
              <w:top w:val="single" w:sz="4" w:space="0" w:color="auto"/>
              <w:left w:val="single" w:sz="4" w:space="0" w:color="000000"/>
              <w:bottom w:val="single" w:sz="4" w:space="0" w:color="000000"/>
              <w:right w:val="single" w:sz="4" w:space="0" w:color="auto"/>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年配网物资协议库存招标联合资格预审中“一二次融合成套柱上断路器（空气）”标段预审合格。</w:t>
            </w:r>
          </w:p>
        </w:tc>
        <w:tc>
          <w:tcPr>
            <w:tcW w:w="3883" w:type="dxa"/>
            <w:gridSpan w:val="2"/>
            <w:vMerge/>
            <w:tcBorders>
              <w:left w:val="single" w:sz="4" w:space="0" w:color="auto"/>
              <w:right w:val="single" w:sz="4" w:space="0" w:color="000000"/>
            </w:tcBorders>
            <w:shd w:val="clear" w:color="auto" w:fill="auto"/>
            <w:noWrap/>
            <w:vAlign w:val="center"/>
          </w:tcPr>
          <w:p w:rsidR="000D61B1" w:rsidRDefault="000D61B1">
            <w:pPr>
              <w:widowControl/>
              <w:jc w:val="left"/>
              <w:textAlignment w:val="center"/>
              <w:rPr>
                <w:color w:val="000000"/>
                <w:kern w:val="0"/>
                <w:lang/>
              </w:rPr>
            </w:pP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24</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一二次融合成套柱上断路器</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10-</w:t>
            </w:r>
            <w:r>
              <w:rPr>
                <w:rFonts w:hint="eastAsia"/>
                <w:color w:val="000000"/>
                <w:kern w:val="0"/>
                <w:lang/>
              </w:rPr>
              <w:t>包</w:t>
            </w:r>
            <w:r>
              <w:rPr>
                <w:rFonts w:hint="eastAsia"/>
                <w:color w:val="000000"/>
                <w:kern w:val="0"/>
                <w:lang/>
              </w:rPr>
              <w:t>13</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6805"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年配网物资协议库存招标联合资格预审中“一二次融合成套柱上断路器（空气）”标段预审合格。</w:t>
            </w:r>
          </w:p>
        </w:tc>
        <w:tc>
          <w:tcPr>
            <w:tcW w:w="3883" w:type="dxa"/>
            <w:gridSpan w:val="2"/>
            <w:vMerge/>
            <w:tcBorders>
              <w:left w:val="single" w:sz="4" w:space="0" w:color="auto"/>
              <w:right w:val="single" w:sz="4" w:space="0" w:color="000000"/>
            </w:tcBorders>
            <w:shd w:val="clear" w:color="auto" w:fill="auto"/>
            <w:noWrap/>
            <w:vAlign w:val="center"/>
          </w:tcPr>
          <w:p w:rsidR="000D61B1" w:rsidRDefault="000D61B1">
            <w:pPr>
              <w:widowControl/>
              <w:jc w:val="left"/>
              <w:textAlignment w:val="center"/>
              <w:rPr>
                <w:color w:val="000000"/>
                <w:kern w:val="0"/>
                <w:lang/>
              </w:rPr>
            </w:pP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25</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一二次融合成套柱上断路器</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14</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pPr>
            <w:r>
              <w:rPr>
                <w:rFonts w:hint="eastAsia"/>
                <w:color w:val="000000"/>
                <w:kern w:val="0"/>
                <w:lang/>
              </w:rPr>
              <w:t>资格预审</w:t>
            </w:r>
          </w:p>
        </w:tc>
        <w:tc>
          <w:tcPr>
            <w:tcW w:w="6805"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年配网物资协议库存招标联合资格预审中“一二次融合成套柱上断路器（空气）”标段预审合格。</w:t>
            </w:r>
          </w:p>
        </w:tc>
        <w:tc>
          <w:tcPr>
            <w:tcW w:w="3883" w:type="dxa"/>
            <w:gridSpan w:val="2"/>
            <w:vMerge/>
            <w:tcBorders>
              <w:left w:val="single" w:sz="4" w:space="0" w:color="auto"/>
              <w:right w:val="single" w:sz="4" w:space="0" w:color="000000"/>
            </w:tcBorders>
            <w:shd w:val="clear" w:color="auto" w:fill="auto"/>
            <w:noWrap/>
            <w:vAlign w:val="center"/>
          </w:tcPr>
          <w:p w:rsidR="000D61B1" w:rsidRDefault="000D61B1">
            <w:pPr>
              <w:widowControl/>
              <w:jc w:val="left"/>
              <w:textAlignment w:val="center"/>
              <w:rPr>
                <w:color w:val="000000"/>
              </w:rPr>
            </w:pP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26</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接地短路故障指示器</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6805" w:type="dxa"/>
            <w:gridSpan w:val="3"/>
            <w:tcBorders>
              <w:top w:val="single" w:sz="4" w:space="0" w:color="000000"/>
              <w:left w:val="single" w:sz="4" w:space="0" w:color="000000"/>
              <w:bottom w:val="single" w:sz="4" w:space="0" w:color="000000"/>
              <w:right w:val="single" w:sz="4" w:space="0" w:color="auto"/>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年配网物资协议库存招标联合资格预审中“架空外施信号远传故障指示器”标段预审合格。</w:t>
            </w:r>
          </w:p>
        </w:tc>
        <w:tc>
          <w:tcPr>
            <w:tcW w:w="3883" w:type="dxa"/>
            <w:gridSpan w:val="2"/>
            <w:vMerge/>
            <w:tcBorders>
              <w:left w:val="single" w:sz="4" w:space="0" w:color="auto"/>
              <w:bottom w:val="single" w:sz="4" w:space="0" w:color="000000"/>
              <w:right w:val="single" w:sz="4" w:space="0" w:color="000000"/>
            </w:tcBorders>
            <w:shd w:val="clear" w:color="auto" w:fill="auto"/>
            <w:noWrap/>
            <w:vAlign w:val="center"/>
          </w:tcPr>
          <w:p w:rsidR="000D61B1" w:rsidRDefault="000D61B1">
            <w:pPr>
              <w:widowControl/>
              <w:jc w:val="left"/>
              <w:textAlignment w:val="center"/>
              <w:rPr>
                <w:color w:val="000000"/>
                <w:kern w:val="0"/>
                <w:lang/>
              </w:rPr>
            </w:pP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27</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交流三相隔</w:t>
            </w:r>
            <w:r>
              <w:rPr>
                <w:rFonts w:hint="eastAsia"/>
                <w:color w:val="000000"/>
                <w:kern w:val="0"/>
                <w:lang/>
              </w:rPr>
              <w:lastRenderedPageBreak/>
              <w:t>离开关</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lastRenderedPageBreak/>
              <w:t>包</w:t>
            </w:r>
            <w:r>
              <w:rPr>
                <w:rFonts w:hint="eastAsia"/>
                <w:color w:val="000000"/>
                <w:kern w:val="0"/>
                <w:lang/>
              </w:rPr>
              <w:t>1-</w:t>
            </w:r>
            <w:r>
              <w:rPr>
                <w:rFonts w:hint="eastAsia"/>
                <w:color w:val="000000"/>
                <w:kern w:val="0"/>
                <w:lang/>
              </w:rPr>
              <w:lastRenderedPageBreak/>
              <w:t>包</w:t>
            </w:r>
            <w:r>
              <w:rPr>
                <w:rFonts w:hint="eastAsia"/>
                <w:color w:val="000000"/>
                <w:kern w:val="0"/>
                <w:lang/>
              </w:rPr>
              <w:t>3</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lastRenderedPageBreak/>
              <w:t>资格预</w:t>
            </w:r>
            <w:r>
              <w:rPr>
                <w:rFonts w:hint="eastAsia"/>
                <w:color w:val="000000"/>
                <w:kern w:val="0"/>
                <w:lang/>
              </w:rPr>
              <w:lastRenderedPageBreak/>
              <w:t>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lastRenderedPageBreak/>
              <w:t>国家电网有限公司</w:t>
            </w:r>
            <w:r>
              <w:rPr>
                <w:rFonts w:hint="eastAsia"/>
                <w:color w:val="000000"/>
                <w:kern w:val="0"/>
                <w:lang/>
              </w:rPr>
              <w:t>2022</w:t>
            </w:r>
            <w:r>
              <w:rPr>
                <w:rFonts w:hint="eastAsia"/>
                <w:color w:val="000000"/>
                <w:kern w:val="0"/>
                <w:lang/>
              </w:rPr>
              <w:t>年配网物资协议库存招标联合资格预审中“</w:t>
            </w:r>
            <w:r>
              <w:rPr>
                <w:rFonts w:hint="eastAsia"/>
                <w:color w:val="000000"/>
                <w:kern w:val="0"/>
                <w:lang/>
              </w:rPr>
              <w:t>10kV</w:t>
            </w:r>
            <w:r>
              <w:rPr>
                <w:rFonts w:hint="eastAsia"/>
                <w:color w:val="000000"/>
                <w:kern w:val="0"/>
                <w:lang/>
              </w:rPr>
              <w:t>交流隔离开关”标段预审合格。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lastRenderedPageBreak/>
              <w:t>28</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配电箱</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r>
              <w:rPr>
                <w:rFonts w:hint="eastAsia"/>
                <w:color w:val="000000"/>
                <w:kern w:val="0"/>
                <w:lang/>
              </w:rPr>
              <w:t>包</w:t>
            </w:r>
            <w:r>
              <w:rPr>
                <w:rFonts w:hint="eastAsia"/>
                <w:color w:val="000000"/>
                <w:kern w:val="0"/>
                <w:lang/>
              </w:rPr>
              <w:t>5</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年配网物资协议库存招标联合资格预审中“配电箱（</w:t>
            </w:r>
            <w:r>
              <w:rPr>
                <w:rFonts w:hint="eastAsia"/>
                <w:color w:val="000000"/>
                <w:kern w:val="0"/>
                <w:lang/>
              </w:rPr>
              <w:t>JP</w:t>
            </w:r>
            <w:r>
              <w:rPr>
                <w:rFonts w:hint="eastAsia"/>
                <w:color w:val="000000"/>
                <w:kern w:val="0"/>
                <w:lang/>
              </w:rPr>
              <w:t>柜）”标段预审合格。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29</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低压开关柜</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pPr>
            <w:r>
              <w:rPr>
                <w:rFonts w:hint="eastAsia"/>
                <w:color w:val="000000"/>
                <w:kern w:val="0"/>
                <w:lang/>
              </w:rPr>
              <w:t>资格后审</w:t>
            </w:r>
          </w:p>
        </w:tc>
        <w:tc>
          <w:tcPr>
            <w:tcW w:w="1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500</w:t>
            </w:r>
            <w:r>
              <w:rPr>
                <w:rFonts w:hint="eastAsia"/>
                <w:color w:val="000000"/>
              </w:rPr>
              <w:t>面</w:t>
            </w:r>
          </w:p>
        </w:tc>
        <w:tc>
          <w:tcPr>
            <w:tcW w:w="4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对应投标产品的本体与主要部件的型式试验报告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w:t>
            </w:r>
          </w:p>
        </w:tc>
        <w:tc>
          <w:tcPr>
            <w:tcW w:w="2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折弯机、剪板机、冲床（或折剪冲功能的数控加工中心）、母排加工机等</w:t>
            </w:r>
          </w:p>
          <w:p w:rsidR="000D61B1" w:rsidRDefault="00CA1259">
            <w:pPr>
              <w:widowControl/>
              <w:jc w:val="left"/>
              <w:textAlignment w:val="center"/>
              <w:rPr>
                <w:color w:val="000000"/>
              </w:rPr>
            </w:pPr>
            <w:r>
              <w:rPr>
                <w:rFonts w:hint="eastAsia"/>
                <w:color w:val="000000"/>
              </w:rPr>
              <w:t>工频耐压试验装置、回路电阻测试仪、绝缘电阻测试仪、机械特性测试仪、等</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w:t>
            </w:r>
            <w:r>
              <w:rPr>
                <w:rFonts w:hint="eastAsia"/>
                <w:color w:val="000000"/>
              </w:rPr>
              <w:t>1</w:t>
            </w:r>
            <w:r>
              <w:rPr>
                <w:rFonts w:hint="eastAsia"/>
                <w:color w:val="000000"/>
              </w:rPr>
              <w:t>）</w:t>
            </w:r>
            <w:r>
              <w:rPr>
                <w:rFonts w:hint="eastAsia"/>
                <w:color w:val="000000"/>
              </w:rPr>
              <w:t>强制性认证产品符合性自我声明证书；</w:t>
            </w:r>
          </w:p>
          <w:p w:rsidR="000D61B1" w:rsidRDefault="00CA1259">
            <w:pPr>
              <w:widowControl/>
              <w:jc w:val="left"/>
              <w:textAlignment w:val="center"/>
              <w:rPr>
                <w:color w:val="000000"/>
              </w:rPr>
            </w:pPr>
            <w:r>
              <w:rPr>
                <w:rFonts w:hint="eastAsia"/>
                <w:color w:val="000000"/>
              </w:rPr>
              <w:t>（</w:t>
            </w:r>
            <w:r>
              <w:rPr>
                <w:rFonts w:hint="eastAsia"/>
                <w:color w:val="000000"/>
              </w:rPr>
              <w:t>2</w:t>
            </w:r>
            <w:r>
              <w:rPr>
                <w:rFonts w:hint="eastAsia"/>
                <w:color w:val="000000"/>
              </w:rPr>
              <w:t>）所投标断路器的强制性认证产品符合性自我声明证书。</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30</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电能计量箱</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r>
              <w:rPr>
                <w:rFonts w:hint="eastAsia"/>
                <w:color w:val="000000"/>
              </w:rPr>
              <w:t>包</w:t>
            </w:r>
            <w:r>
              <w:rPr>
                <w:rFonts w:hint="eastAsia"/>
                <w:color w:val="000000"/>
              </w:rPr>
              <w:t>14</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年配网物资协议库存招标联合资格预审中“电能计量箱（金属）”“电能计量箱（</w:t>
            </w:r>
            <w:r>
              <w:rPr>
                <w:rFonts w:hint="eastAsia"/>
                <w:color w:val="000000"/>
              </w:rPr>
              <w:t>SMC</w:t>
            </w:r>
            <w:r>
              <w:rPr>
                <w:rFonts w:hint="eastAsia"/>
                <w:color w:val="000000"/>
              </w:rPr>
              <w:t>）”标段预审同时合格。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31</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通信单元</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r>
              <w:rPr>
                <w:rFonts w:hint="eastAsia"/>
                <w:color w:val="000000"/>
              </w:rPr>
              <w:t>包</w:t>
            </w:r>
            <w:r>
              <w:rPr>
                <w:rFonts w:hint="eastAsia"/>
                <w:color w:val="000000"/>
              </w:rPr>
              <w:t>5</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资格后审</w:t>
            </w:r>
          </w:p>
        </w:tc>
        <w:tc>
          <w:tcPr>
            <w:tcW w:w="1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不少于</w:t>
            </w:r>
            <w:r>
              <w:rPr>
                <w:rFonts w:hint="eastAsia"/>
                <w:color w:val="000000"/>
              </w:rPr>
              <w:t>20000</w:t>
            </w:r>
            <w:r>
              <w:rPr>
                <w:rFonts w:hint="eastAsia"/>
                <w:color w:val="000000"/>
              </w:rPr>
              <w:t>只</w:t>
            </w:r>
          </w:p>
        </w:tc>
        <w:tc>
          <w:tcPr>
            <w:tcW w:w="4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提供国家认可第三方权威检测机构的有效的型式试验报告（检测报告或鉴定报告）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w:t>
            </w:r>
          </w:p>
        </w:tc>
        <w:tc>
          <w:tcPr>
            <w:tcW w:w="2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具有同类型完整的制造、工艺装备和试验设备（需提供制造、工艺装备和试验设备清单）；具有同类型产品的研发、设计、制造和出厂检测能力</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ISO9000</w:t>
            </w:r>
            <w:r>
              <w:rPr>
                <w:rFonts w:hint="eastAsia"/>
                <w:color w:val="000000"/>
              </w:rPr>
              <w:t>系列质量管理体系认证</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32</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钢绞线</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w:t>
            </w:r>
            <w:r>
              <w:rPr>
                <w:rFonts w:hint="eastAsia"/>
                <w:color w:val="000000"/>
              </w:rPr>
              <w:t>10kV</w:t>
            </w:r>
            <w:r>
              <w:rPr>
                <w:rFonts w:hint="eastAsia"/>
                <w:color w:val="000000"/>
              </w:rPr>
              <w:t>钢绞线”标段预审合格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lastRenderedPageBreak/>
              <w:t>33</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钢芯铝绞线</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w:t>
            </w:r>
            <w:r>
              <w:rPr>
                <w:rFonts w:hint="eastAsia"/>
                <w:color w:val="000000"/>
              </w:rPr>
              <w:t>10kV</w:t>
            </w:r>
            <w:r>
              <w:rPr>
                <w:rFonts w:hint="eastAsia"/>
                <w:color w:val="000000"/>
              </w:rPr>
              <w:t>钢芯铝绞线”标段预审合格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34</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架空绝缘导线</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r>
              <w:rPr>
                <w:rFonts w:hint="eastAsia"/>
                <w:color w:val="000000"/>
              </w:rPr>
              <w:t>包</w:t>
            </w:r>
            <w:r>
              <w:rPr>
                <w:rFonts w:hint="eastAsia"/>
                <w:color w:val="000000"/>
              </w:rPr>
              <w:t>4</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w:t>
            </w:r>
            <w:r>
              <w:rPr>
                <w:rFonts w:hint="eastAsia"/>
                <w:color w:val="000000"/>
              </w:rPr>
              <w:t>10kV</w:t>
            </w:r>
            <w:r>
              <w:rPr>
                <w:rFonts w:hint="eastAsia"/>
                <w:color w:val="000000"/>
              </w:rPr>
              <w:t>架空绝缘导线”标段预审合格。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35</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架空绝缘导线</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5-</w:t>
            </w:r>
            <w:r>
              <w:rPr>
                <w:rFonts w:hint="eastAsia"/>
                <w:color w:val="000000"/>
              </w:rPr>
              <w:t>包</w:t>
            </w:r>
            <w:r>
              <w:rPr>
                <w:rFonts w:hint="eastAsia"/>
                <w:color w:val="000000"/>
              </w:rPr>
              <w:t>7</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w:t>
            </w:r>
            <w:r>
              <w:rPr>
                <w:rFonts w:hint="eastAsia"/>
                <w:color w:val="000000"/>
              </w:rPr>
              <w:t>1kV</w:t>
            </w:r>
            <w:r>
              <w:rPr>
                <w:rFonts w:hint="eastAsia"/>
                <w:color w:val="000000"/>
              </w:rPr>
              <w:t>架空绝缘导线”标段预审合格。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36</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电缆</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r>
              <w:rPr>
                <w:rFonts w:hint="eastAsia"/>
                <w:color w:val="000000"/>
              </w:rPr>
              <w:t>包</w:t>
            </w:r>
            <w:r>
              <w:rPr>
                <w:rFonts w:hint="eastAsia"/>
                <w:color w:val="000000"/>
              </w:rPr>
              <w:t>11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w:t>
            </w:r>
            <w:r>
              <w:rPr>
                <w:rFonts w:hint="eastAsia"/>
                <w:color w:val="000000"/>
              </w:rPr>
              <w:t>10kV</w:t>
            </w:r>
            <w:r>
              <w:rPr>
                <w:rFonts w:hint="eastAsia"/>
                <w:color w:val="000000"/>
              </w:rPr>
              <w:t>电力电缆”标段预审合格。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37</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电缆</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12-</w:t>
            </w:r>
            <w:r>
              <w:rPr>
                <w:rFonts w:hint="eastAsia"/>
                <w:color w:val="000000"/>
              </w:rPr>
              <w:t>包</w:t>
            </w:r>
            <w:r>
              <w:rPr>
                <w:rFonts w:hint="eastAsia"/>
                <w:color w:val="000000"/>
              </w:rPr>
              <w:t>29</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年配网物资协议库存招标联合资格预审中“低压电力电缆”标段预审合格。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38</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电缆附件</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r>
              <w:rPr>
                <w:rFonts w:hint="eastAsia"/>
                <w:color w:val="000000"/>
              </w:rPr>
              <w:t>包</w:t>
            </w:r>
            <w:r>
              <w:rPr>
                <w:rFonts w:hint="eastAsia"/>
                <w:color w:val="000000"/>
              </w:rPr>
              <w:t>2</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w:t>
            </w:r>
            <w:r>
              <w:rPr>
                <w:rFonts w:hint="eastAsia"/>
                <w:color w:val="000000"/>
              </w:rPr>
              <w:t>10kV</w:t>
            </w:r>
            <w:r>
              <w:rPr>
                <w:rFonts w:hint="eastAsia"/>
                <w:color w:val="000000"/>
              </w:rPr>
              <w:t>及以下电缆附件冷缩式”“</w:t>
            </w:r>
            <w:r>
              <w:rPr>
                <w:rFonts w:hint="eastAsia"/>
                <w:color w:val="000000"/>
              </w:rPr>
              <w:t>10kV</w:t>
            </w:r>
            <w:r>
              <w:rPr>
                <w:rFonts w:hint="eastAsia"/>
                <w:color w:val="000000"/>
              </w:rPr>
              <w:t>及以下电缆附件预制式”标段预审同时合格。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39</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电缆分支箱</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r>
              <w:rPr>
                <w:rFonts w:hint="eastAsia"/>
                <w:color w:val="000000"/>
              </w:rPr>
              <w:t>包</w:t>
            </w:r>
            <w:r>
              <w:rPr>
                <w:rFonts w:hint="eastAsia"/>
                <w:color w:val="000000"/>
              </w:rPr>
              <w:t>6</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年配网物资协议库存招标联合资格预审中“低压电缆分支箱（塑壳断路器）”标段预审合格。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40</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电缆保护管</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r>
              <w:rPr>
                <w:rFonts w:hint="eastAsia"/>
                <w:color w:val="000000"/>
              </w:rPr>
              <w:t>包</w:t>
            </w:r>
            <w:r>
              <w:rPr>
                <w:rFonts w:hint="eastAsia"/>
                <w:color w:val="000000"/>
              </w:rPr>
              <w:t>3</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年配网物资协议库存招标联合资格预审中“电缆保护管</w:t>
            </w:r>
            <w:r>
              <w:rPr>
                <w:rFonts w:hint="eastAsia"/>
                <w:color w:val="000000"/>
              </w:rPr>
              <w:t>MPP</w:t>
            </w:r>
            <w:r>
              <w:rPr>
                <w:rFonts w:hint="eastAsia"/>
                <w:color w:val="000000"/>
              </w:rPr>
              <w:t>”标段预审合格。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41</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金具</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r>
              <w:rPr>
                <w:rFonts w:hint="eastAsia"/>
                <w:color w:val="000000"/>
              </w:rPr>
              <w:t>包</w:t>
            </w:r>
            <w:r>
              <w:rPr>
                <w:rFonts w:hint="eastAsia"/>
                <w:color w:val="000000"/>
              </w:rPr>
              <w:t>7</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年配网物资协议库存招标联合资格预审中“金具”标段预审合格。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42</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铁塔</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资格后审</w:t>
            </w:r>
          </w:p>
        </w:tc>
        <w:tc>
          <w:tcPr>
            <w:tcW w:w="1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1500</w:t>
            </w:r>
            <w:r>
              <w:rPr>
                <w:rFonts w:hint="eastAsia"/>
                <w:color w:val="000000"/>
              </w:rPr>
              <w:t>吨</w:t>
            </w:r>
          </w:p>
        </w:tc>
        <w:tc>
          <w:tcPr>
            <w:tcW w:w="4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国家认可第三方权威检测机构出具的有效检测报告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w:t>
            </w:r>
          </w:p>
        </w:tc>
        <w:tc>
          <w:tcPr>
            <w:tcW w:w="2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生产设备：</w:t>
            </w:r>
            <w:r>
              <w:rPr>
                <w:rFonts w:hint="eastAsia"/>
                <w:color w:val="000000"/>
              </w:rPr>
              <w:br/>
            </w:r>
            <w:r>
              <w:rPr>
                <w:rFonts w:hint="eastAsia"/>
                <w:color w:val="000000"/>
              </w:rPr>
              <w:t>具备角钢自动加工生产线及板材自动加工生产线、清根、铲背设备、</w:t>
            </w:r>
            <w:r>
              <w:rPr>
                <w:rFonts w:hint="eastAsia"/>
                <w:color w:val="000000"/>
              </w:rPr>
              <w:t>9</w:t>
            </w:r>
            <w:r>
              <w:rPr>
                <w:rFonts w:hint="eastAsia"/>
                <w:color w:val="000000"/>
              </w:rPr>
              <w:t>米长度构件的热镀锌能力（申请人应自有镀锌设备或镀锌厂家为申请人参股或控股的独立法人或可</w:t>
            </w:r>
            <w:r>
              <w:rPr>
                <w:rFonts w:hint="eastAsia"/>
                <w:color w:val="000000"/>
              </w:rPr>
              <w:lastRenderedPageBreak/>
              <w:t>外委。参股或控股镀锌厂的申请人需提供与镀锌厂家签订的有效期一年以上的镀锌合同以及镀锌厂家的出资证明，同时提供镀锌厂的营业执照。镀锌外委时则应有固定合作方，且申请人需提供与镀锌厂签订的镀锌外委合同，同时提供镀锌厂的营业执照）、试组装场地及相应吊装设备</w:t>
            </w:r>
            <w:r>
              <w:rPr>
                <w:rFonts w:hint="eastAsia"/>
                <w:color w:val="000000"/>
              </w:rPr>
              <w:br/>
            </w:r>
            <w:r>
              <w:rPr>
                <w:rFonts w:hint="eastAsia"/>
                <w:color w:val="000000"/>
              </w:rPr>
              <w:t>试验设备：</w:t>
            </w:r>
            <w:r>
              <w:rPr>
                <w:rFonts w:hint="eastAsia"/>
                <w:color w:val="000000"/>
              </w:rPr>
              <w:br/>
            </w:r>
            <w:r>
              <w:rPr>
                <w:rFonts w:hint="eastAsia"/>
                <w:color w:val="000000"/>
              </w:rPr>
              <w:t>超声波探伤仪。</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lastRenderedPageBreak/>
              <w:t>/</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lastRenderedPageBreak/>
              <w:t>43</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复合绝缘横担</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r>
              <w:rPr>
                <w:rFonts w:hint="eastAsia"/>
                <w:color w:val="000000"/>
                <w:kern w:val="0"/>
                <w:lang/>
              </w:rPr>
              <w:t>包</w:t>
            </w:r>
            <w:r>
              <w:rPr>
                <w:rFonts w:hint="eastAsia"/>
                <w:color w:val="000000"/>
                <w:kern w:val="0"/>
                <w:lang/>
              </w:rPr>
              <w:t>2</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pPr>
            <w:r>
              <w:rPr>
                <w:rFonts w:hint="eastAsia"/>
                <w:color w:val="000000"/>
              </w:rPr>
              <w:t>资格后审</w:t>
            </w:r>
          </w:p>
        </w:tc>
        <w:tc>
          <w:tcPr>
            <w:tcW w:w="1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w:t>
            </w:r>
          </w:p>
        </w:tc>
        <w:tc>
          <w:tcPr>
            <w:tcW w:w="4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提供国家认可第三方权威检测机构的有效的型式试验报告（须同时提供</w:t>
            </w:r>
            <w:r>
              <w:rPr>
                <w:rFonts w:hint="eastAsia"/>
                <w:color w:val="000000"/>
              </w:rPr>
              <w:t>L</w:t>
            </w:r>
            <w:r>
              <w:rPr>
                <w:rFonts w:hint="eastAsia"/>
                <w:color w:val="000000"/>
              </w:rPr>
              <w:t>型耐张、直线型复合绝缘横担型式试验报告）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w:t>
            </w:r>
          </w:p>
        </w:tc>
        <w:tc>
          <w:tcPr>
            <w:tcW w:w="2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具有同类型完整的制造、工艺装备和试验设备（需提供制造、工艺装备和试验设备清单）；具有同类型产品的研发、设计、制造和出厂检测能力</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ISO9000</w:t>
            </w:r>
            <w:r>
              <w:rPr>
                <w:rFonts w:hint="eastAsia"/>
                <w:color w:val="000000"/>
              </w:rPr>
              <w:t>系列质量管理体系认证</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44</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装置性材料套料</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pPr>
            <w:r>
              <w:rPr>
                <w:rFonts w:hint="eastAsia"/>
                <w:color w:val="000000"/>
              </w:rPr>
              <w:t>资格后审</w:t>
            </w:r>
          </w:p>
        </w:tc>
        <w:tc>
          <w:tcPr>
            <w:tcW w:w="1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w:t>
            </w:r>
          </w:p>
        </w:tc>
        <w:tc>
          <w:tcPr>
            <w:tcW w:w="4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提供国家认可第三方权威检测机构的有效的型式试验报告（成套范围内熔断器、避雷器、隔离开关、插头、导线等设备、材料的型式试验报告或鉴定报告）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w:t>
            </w:r>
          </w:p>
        </w:tc>
        <w:tc>
          <w:tcPr>
            <w:tcW w:w="2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ISO9000</w:t>
            </w:r>
            <w:r>
              <w:rPr>
                <w:rFonts w:hint="eastAsia"/>
                <w:color w:val="000000"/>
              </w:rPr>
              <w:t>系列质量管理体系认证</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45</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接地模块</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pPr>
            <w:r>
              <w:rPr>
                <w:rFonts w:hint="eastAsia"/>
                <w:color w:val="000000"/>
              </w:rPr>
              <w:t>资格后审</w:t>
            </w:r>
          </w:p>
        </w:tc>
        <w:tc>
          <w:tcPr>
            <w:tcW w:w="1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w:t>
            </w:r>
          </w:p>
        </w:tc>
        <w:tc>
          <w:tcPr>
            <w:tcW w:w="4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提供国家认可第三方权威检测机构的有效的型式试验报告（检测报告或鉴定报告）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w:t>
            </w:r>
          </w:p>
        </w:tc>
        <w:tc>
          <w:tcPr>
            <w:tcW w:w="2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ISO9000</w:t>
            </w:r>
            <w:r>
              <w:rPr>
                <w:rFonts w:hint="eastAsia"/>
                <w:color w:val="000000"/>
              </w:rPr>
              <w:t>系列质量管理体系</w:t>
            </w:r>
            <w:r>
              <w:rPr>
                <w:rFonts w:hint="eastAsia"/>
                <w:color w:val="000000"/>
              </w:rPr>
              <w:lastRenderedPageBreak/>
              <w:t>认证</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lastRenderedPageBreak/>
              <w:t>46</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接地铁</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r>
              <w:rPr>
                <w:rFonts w:hint="eastAsia"/>
                <w:color w:val="000000"/>
                <w:kern w:val="0"/>
                <w:lang/>
              </w:rPr>
              <w:t>包</w:t>
            </w:r>
            <w:r>
              <w:rPr>
                <w:rFonts w:hint="eastAsia"/>
                <w:color w:val="000000"/>
                <w:kern w:val="0"/>
                <w:lang/>
              </w:rPr>
              <w:t>6</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pPr>
            <w:r>
              <w:rPr>
                <w:rFonts w:hint="eastAsia"/>
                <w:color w:val="000000"/>
              </w:rPr>
              <w:t>资格后审</w:t>
            </w:r>
          </w:p>
        </w:tc>
        <w:tc>
          <w:tcPr>
            <w:tcW w:w="1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不少于</w:t>
            </w:r>
            <w:r>
              <w:rPr>
                <w:rFonts w:hint="eastAsia"/>
                <w:color w:val="000000"/>
              </w:rPr>
              <w:t>100</w:t>
            </w:r>
            <w:r>
              <w:rPr>
                <w:rFonts w:hint="eastAsia"/>
                <w:color w:val="000000"/>
              </w:rPr>
              <w:t>付</w:t>
            </w:r>
          </w:p>
        </w:tc>
        <w:tc>
          <w:tcPr>
            <w:tcW w:w="4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提供国家认可第三方权威检测机构的有效的型式试验报告（检测报告或鉴定报告）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w:t>
            </w:r>
          </w:p>
        </w:tc>
        <w:tc>
          <w:tcPr>
            <w:tcW w:w="2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ISO9000</w:t>
            </w:r>
            <w:r>
              <w:rPr>
                <w:rFonts w:hint="eastAsia"/>
                <w:color w:val="000000"/>
              </w:rPr>
              <w:t>系列质量管理体系认证</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47</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铁构件</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r>
              <w:rPr>
                <w:rFonts w:hint="eastAsia"/>
                <w:color w:val="000000"/>
              </w:rPr>
              <w:t>包</w:t>
            </w:r>
            <w:r>
              <w:rPr>
                <w:rFonts w:hint="eastAsia"/>
                <w:color w:val="000000"/>
              </w:rPr>
              <w:t>12</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年配网物资协议库存招标联合资格预审中“铁附件”标段预审合格。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48</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钢管杆（桩）</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r>
              <w:rPr>
                <w:rFonts w:hint="eastAsia"/>
                <w:color w:val="000000"/>
              </w:rPr>
              <w:t>包</w:t>
            </w:r>
            <w:r>
              <w:rPr>
                <w:rFonts w:hint="eastAsia"/>
                <w:color w:val="000000"/>
              </w:rPr>
              <w:t>3</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年配网物资协议库存招标联合资格预审中“钢管杆（桩）”标段预审合格。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49</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锥形水泥杆</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r>
              <w:rPr>
                <w:rFonts w:hint="eastAsia"/>
                <w:color w:val="000000"/>
              </w:rPr>
              <w:t>包</w:t>
            </w:r>
            <w:r>
              <w:rPr>
                <w:rFonts w:hint="eastAsia"/>
                <w:color w:val="000000"/>
              </w:rPr>
              <w:t>12</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年配网物资协议库存招标联合资格预审中“非预应力锥形水泥杆”标段预审合格。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50</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锥形水泥杆</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13</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国家电网有限公司</w:t>
            </w:r>
            <w:r>
              <w:rPr>
                <w:rFonts w:hint="eastAsia"/>
                <w:color w:val="000000"/>
              </w:rPr>
              <w:t>2022</w:t>
            </w:r>
            <w:r>
              <w:rPr>
                <w:rFonts w:hint="eastAsia"/>
                <w:color w:val="000000"/>
              </w:rPr>
              <w:t>年配网物资协议库存招标联合资格预审中“部分预应力锥形水泥杆”标段预审合格。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51</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水泥制品</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r>
              <w:rPr>
                <w:rFonts w:hint="eastAsia"/>
                <w:color w:val="000000"/>
                <w:kern w:val="0"/>
                <w:lang/>
              </w:rPr>
              <w:t>包</w:t>
            </w:r>
            <w:r>
              <w:rPr>
                <w:rFonts w:hint="eastAsia"/>
                <w:color w:val="000000"/>
                <w:kern w:val="0"/>
                <w:lang/>
              </w:rPr>
              <w:t>5</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资格后审</w:t>
            </w:r>
          </w:p>
        </w:tc>
        <w:tc>
          <w:tcPr>
            <w:tcW w:w="1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w:t>
            </w:r>
          </w:p>
        </w:tc>
        <w:tc>
          <w:tcPr>
            <w:tcW w:w="4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提供国家认可第三方权威检测机构的有效的型式试验报告（检测报告或鉴定报告）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w:t>
            </w:r>
          </w:p>
        </w:tc>
        <w:tc>
          <w:tcPr>
            <w:tcW w:w="2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具有同类型完整的制造、工艺装备和试验设备（需提供制造、工艺装备和试验设备清单）；具有同类型产品的研发、设计、制造和出厂检测能力</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ISO9000</w:t>
            </w:r>
            <w:r>
              <w:rPr>
                <w:rFonts w:hint="eastAsia"/>
                <w:color w:val="000000"/>
                <w:kern w:val="0"/>
                <w:lang/>
              </w:rPr>
              <w:t>系列质量管理体系认证</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52</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绝缘子</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资格后审</w:t>
            </w:r>
          </w:p>
        </w:tc>
        <w:tc>
          <w:tcPr>
            <w:tcW w:w="1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不少于</w:t>
            </w:r>
            <w:r>
              <w:rPr>
                <w:rFonts w:hint="eastAsia"/>
                <w:color w:val="000000"/>
                <w:kern w:val="0"/>
                <w:lang/>
              </w:rPr>
              <w:t>200000</w:t>
            </w:r>
            <w:r>
              <w:rPr>
                <w:rFonts w:hint="eastAsia"/>
                <w:color w:val="000000"/>
                <w:kern w:val="0"/>
                <w:lang/>
              </w:rPr>
              <w:t>只</w:t>
            </w:r>
          </w:p>
        </w:tc>
        <w:tc>
          <w:tcPr>
            <w:tcW w:w="4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提供国家认可第三方权威检测机构的有效的型式试验报告（检测报告或鉴定报告）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w:t>
            </w:r>
          </w:p>
        </w:tc>
        <w:tc>
          <w:tcPr>
            <w:tcW w:w="2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具有同类型完整的制造、工艺装备和试验设备（需提供制造、工艺装备和试验设备清单）；具有同类型产品的研发、设计、制造和出厂检测能力</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ISO9000</w:t>
            </w:r>
            <w:r>
              <w:rPr>
                <w:rFonts w:hint="eastAsia"/>
                <w:color w:val="000000"/>
                <w:kern w:val="0"/>
                <w:lang/>
              </w:rPr>
              <w:t>系列质量管理体系认证</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lastRenderedPageBreak/>
              <w:t>53</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绝缘子</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2</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年配网物资协议库存招标联合资格预审中“蝶式绝缘子”标段预审合格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54</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绝缘子</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3-</w:t>
            </w:r>
            <w:r>
              <w:rPr>
                <w:rFonts w:hint="eastAsia"/>
                <w:color w:val="000000"/>
                <w:kern w:val="0"/>
                <w:lang/>
              </w:rPr>
              <w:t>包</w:t>
            </w:r>
            <w:r>
              <w:rPr>
                <w:rFonts w:hint="eastAsia"/>
                <w:color w:val="000000"/>
                <w:kern w:val="0"/>
                <w:lang/>
              </w:rPr>
              <w:t>4</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年配网物资协议库存招标联合资格预审中“针式瓷绝缘子”标段预审合格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55</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绝缘子</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5-</w:t>
            </w:r>
            <w:r>
              <w:rPr>
                <w:rFonts w:hint="eastAsia"/>
                <w:color w:val="000000"/>
                <w:kern w:val="0"/>
                <w:lang/>
              </w:rPr>
              <w:t>包</w:t>
            </w:r>
            <w:r>
              <w:rPr>
                <w:rFonts w:hint="eastAsia"/>
                <w:color w:val="000000"/>
                <w:kern w:val="0"/>
                <w:lang/>
              </w:rPr>
              <w:t>6</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年配网物资协议库存招标联合资格预审中“交流盘形悬式瓷绝缘子”标段预审合格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56</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绝缘子</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7-</w:t>
            </w:r>
            <w:r>
              <w:rPr>
                <w:rFonts w:hint="eastAsia"/>
                <w:color w:val="000000"/>
                <w:kern w:val="0"/>
                <w:lang/>
              </w:rPr>
              <w:t>包</w:t>
            </w:r>
            <w:r>
              <w:rPr>
                <w:rFonts w:hint="eastAsia"/>
                <w:color w:val="000000"/>
                <w:kern w:val="0"/>
                <w:lang/>
              </w:rPr>
              <w:t>10</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年配网物资协议库存招标联合资格预审中“线路柱式瓷绝缘子”标段预审合格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57</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绝缘子</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年配网物资协议库存招标联合资格预审中“交流棒形悬式复合绝缘子”标段预审合格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58</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绝缘子</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包</w:t>
            </w:r>
            <w:r>
              <w:rPr>
                <w:rFonts w:hint="eastAsia"/>
                <w:color w:val="000000"/>
                <w:kern w:val="0"/>
                <w:lang/>
              </w:rPr>
              <w:t>12</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资格预审</w:t>
            </w:r>
          </w:p>
        </w:tc>
        <w:tc>
          <w:tcPr>
            <w:tcW w:w="1068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国家电网有限公司</w:t>
            </w:r>
            <w:r>
              <w:rPr>
                <w:rFonts w:hint="eastAsia"/>
                <w:color w:val="000000"/>
                <w:kern w:val="0"/>
                <w:lang/>
              </w:rPr>
              <w:t>2022</w:t>
            </w:r>
            <w:r>
              <w:rPr>
                <w:rFonts w:hint="eastAsia"/>
                <w:color w:val="000000"/>
                <w:kern w:val="0"/>
                <w:lang/>
              </w:rPr>
              <w:t>年配网物资协议库存招标联合资格预审中“线路柱式复合绝缘子”标段预审合格</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59</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防鸟设备</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r>
              <w:rPr>
                <w:rFonts w:hint="eastAsia"/>
                <w:color w:val="000000"/>
              </w:rPr>
              <w:t>包</w:t>
            </w:r>
            <w:r>
              <w:rPr>
                <w:rFonts w:hint="eastAsia"/>
                <w:color w:val="000000"/>
              </w:rPr>
              <w:t>10</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pPr>
            <w:r>
              <w:rPr>
                <w:rFonts w:hint="eastAsia"/>
                <w:color w:val="000000"/>
                <w:kern w:val="0"/>
                <w:lang/>
              </w:rPr>
              <w:t>资格后审</w:t>
            </w:r>
          </w:p>
        </w:tc>
        <w:tc>
          <w:tcPr>
            <w:tcW w:w="1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w:t>
            </w:r>
          </w:p>
        </w:tc>
        <w:tc>
          <w:tcPr>
            <w:tcW w:w="4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国家认可的第三方权威检测机构出具的有效的型式试验报告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w:t>
            </w:r>
          </w:p>
        </w:tc>
        <w:tc>
          <w:tcPr>
            <w:tcW w:w="2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具有完整的制造、工艺装备和试验设备</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ISO9000</w:t>
            </w:r>
            <w:r>
              <w:rPr>
                <w:rFonts w:hint="eastAsia"/>
                <w:color w:val="000000"/>
                <w:kern w:val="0"/>
                <w:lang/>
              </w:rPr>
              <w:t>系列质量管理体系认证</w:t>
            </w:r>
          </w:p>
        </w:tc>
      </w:tr>
      <w:tr w:rsidR="000D61B1">
        <w:trPr>
          <w:trHeight w:val="270"/>
        </w:trPr>
        <w:tc>
          <w:tcPr>
            <w:tcW w:w="5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60</w:t>
            </w:r>
          </w:p>
        </w:tc>
        <w:tc>
          <w:tcPr>
            <w:tcW w:w="139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kern w:val="0"/>
                <w:lang/>
              </w:rPr>
            </w:pPr>
            <w:r>
              <w:rPr>
                <w:rFonts w:hint="eastAsia"/>
                <w:color w:val="000000"/>
                <w:kern w:val="0"/>
                <w:lang/>
              </w:rPr>
              <w:t>布电线</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包</w:t>
            </w:r>
            <w:r>
              <w:rPr>
                <w:rFonts w:hint="eastAsia"/>
                <w:color w:val="000000"/>
              </w:rPr>
              <w:t>1</w:t>
            </w:r>
          </w:p>
        </w:tc>
        <w:tc>
          <w:tcPr>
            <w:tcW w:w="86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pPr>
            <w:r>
              <w:rPr>
                <w:rFonts w:hint="eastAsia"/>
                <w:color w:val="000000"/>
                <w:kern w:val="0"/>
                <w:lang/>
              </w:rPr>
              <w:t>资格后审</w:t>
            </w:r>
          </w:p>
        </w:tc>
        <w:tc>
          <w:tcPr>
            <w:tcW w:w="145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w:t>
            </w:r>
          </w:p>
        </w:tc>
        <w:tc>
          <w:tcPr>
            <w:tcW w:w="407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国家认可的第三方权威检测机构出具的有效的型式试验报告或检测报告</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w:t>
            </w:r>
          </w:p>
        </w:tc>
        <w:tc>
          <w:tcPr>
            <w:tcW w:w="281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rPr>
              <w:t>具有完整的制造、工艺装备和试验设备</w:t>
            </w:r>
          </w:p>
        </w:tc>
        <w:tc>
          <w:tcPr>
            <w:tcW w:w="106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D61B1" w:rsidRDefault="00CA1259">
            <w:pPr>
              <w:widowControl/>
              <w:jc w:val="left"/>
              <w:textAlignment w:val="center"/>
              <w:rPr>
                <w:color w:val="000000"/>
              </w:rPr>
            </w:pPr>
            <w:r>
              <w:rPr>
                <w:rFonts w:hint="eastAsia"/>
                <w:color w:val="000000"/>
                <w:kern w:val="0"/>
                <w:lang/>
              </w:rPr>
              <w:t>ISO9000</w:t>
            </w:r>
            <w:r>
              <w:rPr>
                <w:rFonts w:hint="eastAsia"/>
                <w:color w:val="000000"/>
                <w:kern w:val="0"/>
                <w:lang/>
              </w:rPr>
              <w:t>系列质量管理体系认证</w:t>
            </w:r>
          </w:p>
        </w:tc>
      </w:tr>
    </w:tbl>
    <w:p w:rsidR="000D61B1" w:rsidRDefault="000D61B1">
      <w:pPr>
        <w:widowControl/>
        <w:tabs>
          <w:tab w:val="left" w:pos="760"/>
        </w:tabs>
        <w:spacing w:line="276" w:lineRule="auto"/>
        <w:jc w:val="left"/>
        <w:rPr>
          <w:rFonts w:ascii="Times New Roman" w:hAnsi="Times New Roman"/>
          <w:b/>
        </w:rPr>
      </w:pPr>
    </w:p>
    <w:p w:rsidR="000D61B1" w:rsidRDefault="00CA1259">
      <w:pPr>
        <w:widowControl/>
        <w:tabs>
          <w:tab w:val="left" w:pos="760"/>
        </w:tabs>
        <w:spacing w:line="276" w:lineRule="auto"/>
        <w:jc w:val="left"/>
        <w:rPr>
          <w:rFonts w:ascii="Times New Roman" w:hAnsi="Times New Roman"/>
          <w:b/>
        </w:rPr>
      </w:pPr>
      <w:r>
        <w:rPr>
          <w:rFonts w:ascii="Times New Roman" w:hAnsi="Times New Roman"/>
          <w:b/>
        </w:rPr>
        <w:t>注：专用资质业绩中</w:t>
      </w:r>
      <w:r>
        <w:rPr>
          <w:rFonts w:ascii="Times New Roman" w:hAnsi="Times New Roman"/>
          <w:b/>
        </w:rPr>
        <w:t>“</w:t>
      </w:r>
      <w:r>
        <w:rPr>
          <w:rFonts w:ascii="Times New Roman" w:hAnsi="Times New Roman"/>
          <w:b/>
          <w:lang/>
        </w:rPr>
        <w:t>/</w:t>
      </w:r>
      <w:r>
        <w:rPr>
          <w:rFonts w:ascii="Times New Roman" w:hAnsi="Times New Roman"/>
          <w:b/>
        </w:rPr>
        <w:t>”</w:t>
      </w:r>
      <w:r>
        <w:rPr>
          <w:rFonts w:ascii="Times New Roman" w:hAnsi="Times New Roman"/>
          <w:b/>
        </w:rPr>
        <w:t>表示相应资质业绩无特殊要求，但投标人仍需满足通用资格要求。</w:t>
      </w:r>
    </w:p>
    <w:p w:rsidR="000D61B1" w:rsidRDefault="000D61B1">
      <w:pPr>
        <w:pStyle w:val="21"/>
        <w:widowControl/>
        <w:spacing w:line="400" w:lineRule="exact"/>
        <w:rPr>
          <w:color w:val="000000" w:themeColor="text1"/>
        </w:rPr>
        <w:sectPr w:rsidR="000D61B1">
          <w:headerReference w:type="default" r:id="rId10"/>
          <w:footerReference w:type="default" r:id="rId11"/>
          <w:headerReference w:type="first" r:id="rId12"/>
          <w:footerReference w:type="first" r:id="rId13"/>
          <w:pgSz w:w="16783" w:h="11850" w:orient="landscape"/>
          <w:pgMar w:top="1803" w:right="1134" w:bottom="1803" w:left="1134" w:header="0" w:footer="841" w:gutter="0"/>
          <w:pgNumType w:start="0"/>
          <w:cols w:space="0"/>
          <w:titlePg/>
          <w:docGrid w:linePitch="286"/>
        </w:sectPr>
      </w:pPr>
    </w:p>
    <w:p w:rsidR="000D61B1" w:rsidRDefault="00CA1259">
      <w:pPr>
        <w:pStyle w:val="21"/>
        <w:rPr>
          <w:rFonts w:ascii="黑体" w:eastAsia="黑体" w:hAnsi="黑体" w:cs="黑体"/>
          <w:b/>
          <w:kern w:val="2"/>
          <w:sz w:val="24"/>
          <w:szCs w:val="24"/>
          <w:lang w:val="en-US"/>
        </w:rPr>
      </w:pPr>
      <w:r>
        <w:rPr>
          <w:rFonts w:ascii="黑体" w:eastAsia="黑体" w:hAnsi="黑体" w:cs="黑体" w:hint="eastAsia"/>
          <w:b/>
          <w:kern w:val="2"/>
          <w:sz w:val="24"/>
          <w:szCs w:val="24"/>
          <w:lang w:val="en-US"/>
        </w:rPr>
        <w:lastRenderedPageBreak/>
        <w:t>附件</w:t>
      </w:r>
      <w:r>
        <w:rPr>
          <w:rFonts w:ascii="黑体" w:eastAsia="黑体" w:hAnsi="黑体" w:cs="黑体" w:hint="eastAsia"/>
          <w:b/>
          <w:kern w:val="2"/>
          <w:sz w:val="24"/>
          <w:szCs w:val="24"/>
          <w:lang w:val="en-US"/>
        </w:rPr>
        <w:t>2</w:t>
      </w:r>
      <w:r>
        <w:rPr>
          <w:rFonts w:ascii="黑体" w:eastAsia="黑体" w:hAnsi="黑体" w:cs="黑体" w:hint="eastAsia"/>
          <w:b/>
          <w:kern w:val="2"/>
          <w:sz w:val="24"/>
          <w:szCs w:val="24"/>
          <w:lang w:val="en-US"/>
        </w:rPr>
        <w:t>：合规约定（业务关联方）</w:t>
      </w:r>
    </w:p>
    <w:p w:rsidR="000D61B1" w:rsidRDefault="00CA1259">
      <w:pPr>
        <w:widowControl/>
        <w:spacing w:beforeAutospacing="1" w:afterAutospacing="1"/>
        <w:ind w:firstLineChars="200" w:firstLine="720"/>
        <w:jc w:val="center"/>
        <w:rPr>
          <w:rFonts w:ascii="方正小标宋_GBK" w:eastAsia="方正小标宋_GBK" w:hAnsi="方正小标宋_GBK" w:cs="方正小标宋_GBK"/>
          <w:kern w:val="0"/>
          <w:sz w:val="36"/>
          <w:szCs w:val="36"/>
          <w:lang/>
        </w:rPr>
      </w:pPr>
      <w:r>
        <w:rPr>
          <w:rFonts w:ascii="方正小标宋_GBK" w:eastAsia="方正小标宋_GBK" w:hAnsi="方正小标宋_GBK" w:cs="方正小标宋_GBK" w:hint="eastAsia"/>
          <w:kern w:val="0"/>
          <w:sz w:val="36"/>
          <w:szCs w:val="36"/>
          <w:lang/>
        </w:rPr>
        <w:t>合规约定</w:t>
      </w:r>
    </w:p>
    <w:p w:rsidR="000D61B1" w:rsidRDefault="00CA1259">
      <w:pPr>
        <w:widowControl/>
        <w:spacing w:beforeAutospacing="1" w:afterAutospacing="1"/>
        <w:ind w:firstLineChars="200" w:firstLine="720"/>
        <w:jc w:val="center"/>
        <w:rPr>
          <w:rFonts w:ascii="方正小标宋_GBK" w:eastAsia="方正小标宋_GBK" w:hAnsi="方正小标宋_GBK" w:cs="方正小标宋_GBK"/>
          <w:kern w:val="0"/>
          <w:sz w:val="36"/>
          <w:szCs w:val="36"/>
          <w:lang/>
        </w:rPr>
      </w:pPr>
      <w:r>
        <w:rPr>
          <w:rFonts w:ascii="方正小标宋_GBK" w:eastAsia="方正小标宋_GBK" w:hAnsi="方正小标宋_GBK" w:cs="方正小标宋_GBK" w:hint="eastAsia"/>
          <w:kern w:val="0"/>
          <w:sz w:val="36"/>
          <w:szCs w:val="36"/>
          <w:lang/>
        </w:rPr>
        <w:t>（业务关联方）</w:t>
      </w:r>
    </w:p>
    <w:p w:rsidR="000D61B1" w:rsidRDefault="00CA1259">
      <w:pPr>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为保障</w:t>
      </w:r>
      <w:r>
        <w:rPr>
          <w:rFonts w:ascii="方正仿宋_GBK" w:eastAsia="方正仿宋_GBK" w:hAnsi="方正仿宋_GBK" w:cs="方正仿宋_GBK" w:hint="eastAsia"/>
          <w:sz w:val="32"/>
          <w:szCs w:val="32"/>
        </w:rPr>
        <w:t>合同</w:t>
      </w:r>
      <w:r>
        <w:rPr>
          <w:rFonts w:ascii="方正仿宋_GBK" w:eastAsia="方正仿宋_GBK" w:hAnsi="方正仿宋_GBK" w:cs="方正仿宋_GBK" w:hint="eastAsia"/>
          <w:sz w:val="32"/>
          <w:szCs w:val="32"/>
        </w:rPr>
        <w:t>双方依法诚信合规开展</w:t>
      </w:r>
      <w:r>
        <w:rPr>
          <w:rFonts w:ascii="方正仿宋_GBK" w:eastAsia="方正仿宋_GBK" w:hAnsi="方正仿宋_GBK" w:cs="方正仿宋_GBK" w:hint="eastAsia"/>
          <w:sz w:val="32"/>
          <w:szCs w:val="32"/>
        </w:rPr>
        <w:t>业务</w:t>
      </w:r>
      <w:r>
        <w:rPr>
          <w:rFonts w:ascii="方正仿宋_GBK" w:eastAsia="方正仿宋_GBK" w:hAnsi="方正仿宋_GBK" w:cs="方正仿宋_GBK" w:hint="eastAsia"/>
          <w:sz w:val="32"/>
          <w:szCs w:val="32"/>
        </w:rPr>
        <w:t>合作，明确双方的诚信合规责任，依据国家法律法规的相关规定，在遵循平等、自愿的基础上，经双方友好协商一致，签订合规协议</w:t>
      </w:r>
      <w:r>
        <w:rPr>
          <w:rFonts w:ascii="方正仿宋_GBK" w:eastAsia="方正仿宋_GBK" w:hAnsi="方正仿宋_GBK" w:cs="方正仿宋_GBK" w:hint="eastAsia"/>
          <w:sz w:val="32"/>
          <w:szCs w:val="32"/>
        </w:rPr>
        <w:t>。</w:t>
      </w:r>
    </w:p>
    <w:p w:rsidR="000D61B1" w:rsidRDefault="00CA1259">
      <w:pPr>
        <w:spacing w:line="540" w:lineRule="exact"/>
        <w:ind w:firstLineChars="200" w:firstLine="64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一、双方承诺</w:t>
      </w:r>
    </w:p>
    <w:p w:rsidR="000D61B1" w:rsidRDefault="00CA1259">
      <w:pPr>
        <w:spacing w:line="540" w:lineRule="exact"/>
        <w:ind w:firstLineChars="200" w:firstLine="640"/>
        <w:rPr>
          <w:rFonts w:ascii="方正仿宋_GBK" w:eastAsia="方正仿宋_GBK" w:hAnsi="方正仿宋_GBK" w:cs="方正仿宋_GBK"/>
          <w:sz w:val="32"/>
          <w:szCs w:val="32"/>
          <w:lang w:val="en-GB"/>
        </w:rPr>
      </w:pPr>
      <w:r>
        <w:rPr>
          <w:rFonts w:ascii="方正仿宋_GBK" w:eastAsia="方正仿宋_GBK" w:hAnsi="方正仿宋_GBK" w:cs="方正仿宋_GBK" w:hint="eastAsia"/>
          <w:sz w:val="32"/>
          <w:szCs w:val="32"/>
        </w:rPr>
        <w:t>1.</w:t>
      </w:r>
      <w:r>
        <w:rPr>
          <w:rFonts w:ascii="方正仿宋_GBK" w:eastAsia="方正仿宋_GBK" w:hAnsi="方正仿宋_GBK" w:cs="方正仿宋_GBK" w:hint="eastAsia"/>
          <w:sz w:val="32"/>
          <w:szCs w:val="32"/>
          <w:lang w:val="en-GB"/>
        </w:rPr>
        <w:t>坚持以习近平新时代中国特色社会主义思想为指导，积极培育企业合规管理能力，保障</w:t>
      </w:r>
      <w:r>
        <w:rPr>
          <w:rFonts w:ascii="方正仿宋_GBK" w:eastAsia="方正仿宋_GBK" w:hAnsi="方正仿宋_GBK" w:cs="方正仿宋_GBK" w:hint="eastAsia"/>
          <w:sz w:val="32"/>
          <w:szCs w:val="32"/>
          <w:lang w:val="en-GB"/>
        </w:rPr>
        <w:t>合同所涉及业务符合法律法规、符合政府监管要求、符合行业管理规定。</w:t>
      </w:r>
    </w:p>
    <w:p w:rsidR="000D61B1" w:rsidRDefault="00CA1259">
      <w:pPr>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w:t>
      </w:r>
      <w:r>
        <w:rPr>
          <w:rFonts w:ascii="方正仿宋_GBK" w:eastAsia="方正仿宋_GBK" w:hAnsi="方正仿宋_GBK" w:cs="方正仿宋_GBK" w:hint="eastAsia"/>
          <w:sz w:val="32"/>
          <w:szCs w:val="32"/>
        </w:rPr>
        <w:t>将合规管理要求全面嵌入</w:t>
      </w:r>
      <w:r>
        <w:rPr>
          <w:rFonts w:ascii="方正仿宋_GBK" w:eastAsia="方正仿宋_GBK" w:hAnsi="方正仿宋_GBK" w:cs="方正仿宋_GBK" w:hint="eastAsia"/>
          <w:sz w:val="32"/>
          <w:szCs w:val="32"/>
        </w:rPr>
        <w:t>合同涉及业务各个方面</w:t>
      </w:r>
      <w:r>
        <w:rPr>
          <w:rFonts w:ascii="方正仿宋_GBK" w:eastAsia="方正仿宋_GBK" w:hAnsi="方正仿宋_GBK" w:cs="方正仿宋_GBK" w:hint="eastAsia"/>
          <w:sz w:val="32"/>
          <w:szCs w:val="32"/>
        </w:rPr>
        <w:t>，在</w:t>
      </w:r>
      <w:r>
        <w:rPr>
          <w:rFonts w:ascii="方正仿宋_GBK" w:eastAsia="方正仿宋_GBK" w:hAnsi="方正仿宋_GBK" w:cs="方正仿宋_GBK" w:hint="eastAsia"/>
          <w:sz w:val="32"/>
          <w:szCs w:val="32"/>
        </w:rPr>
        <w:t>合同履行中确定</w:t>
      </w:r>
      <w:r>
        <w:rPr>
          <w:rFonts w:ascii="方正仿宋_GBK" w:eastAsia="方正仿宋_GBK" w:hAnsi="方正仿宋_GBK" w:cs="方正仿宋_GBK" w:hint="eastAsia"/>
          <w:sz w:val="32"/>
          <w:szCs w:val="32"/>
        </w:rPr>
        <w:t>合规管理重点，落实合规人人有责、人人参与，促进</w:t>
      </w:r>
      <w:r>
        <w:rPr>
          <w:rFonts w:ascii="方正仿宋_GBK" w:eastAsia="方正仿宋_GBK" w:hAnsi="方正仿宋_GBK" w:cs="方正仿宋_GBK" w:hint="eastAsia"/>
          <w:sz w:val="32"/>
          <w:szCs w:val="32"/>
        </w:rPr>
        <w:t>合同履行</w:t>
      </w:r>
      <w:r>
        <w:rPr>
          <w:rFonts w:ascii="方正仿宋_GBK" w:eastAsia="方正仿宋_GBK" w:hAnsi="方正仿宋_GBK" w:cs="方正仿宋_GBK" w:hint="eastAsia"/>
          <w:sz w:val="32"/>
          <w:szCs w:val="32"/>
        </w:rPr>
        <w:t>全面合规。</w:t>
      </w:r>
    </w:p>
    <w:p w:rsidR="000D61B1" w:rsidRDefault="00CA1259">
      <w:pPr>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w:t>
      </w:r>
      <w:r>
        <w:rPr>
          <w:rFonts w:ascii="方正仿宋_GBK" w:eastAsia="方正仿宋_GBK" w:hAnsi="方正仿宋_GBK" w:cs="方正仿宋_GBK" w:hint="eastAsia"/>
          <w:sz w:val="32"/>
          <w:szCs w:val="32"/>
        </w:rPr>
        <w:t>立足防范合规风险，强调关口前移、事前防范和过程控制，通过</w:t>
      </w:r>
      <w:r>
        <w:rPr>
          <w:rFonts w:ascii="方正仿宋_GBK" w:eastAsia="方正仿宋_GBK" w:hAnsi="方正仿宋_GBK" w:cs="方正仿宋_GBK" w:hint="eastAsia"/>
          <w:sz w:val="32"/>
          <w:szCs w:val="32"/>
        </w:rPr>
        <w:t>积极主动开展合规风险辨识</w:t>
      </w:r>
      <w:r>
        <w:rPr>
          <w:rFonts w:ascii="方正仿宋_GBK" w:eastAsia="方正仿宋_GBK" w:hAnsi="方正仿宋_GBK" w:cs="方正仿宋_GBK" w:hint="eastAsia"/>
          <w:sz w:val="32"/>
          <w:szCs w:val="32"/>
        </w:rPr>
        <w:t>，达到警示和预防目的。</w:t>
      </w:r>
    </w:p>
    <w:p w:rsidR="000D61B1" w:rsidRDefault="00CA1259">
      <w:pPr>
        <w:spacing w:line="540" w:lineRule="exact"/>
        <w:ind w:firstLineChars="200" w:firstLine="64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二、双方参与合同履行人员做到</w:t>
      </w:r>
    </w:p>
    <w:p w:rsidR="000D61B1" w:rsidRDefault="00CA1259">
      <w:pPr>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w:t>
      </w:r>
      <w:r>
        <w:rPr>
          <w:rFonts w:ascii="方正仿宋_GBK" w:eastAsia="方正仿宋_GBK" w:hAnsi="方正仿宋_GBK" w:cs="方正仿宋_GBK" w:hint="eastAsia"/>
          <w:sz w:val="32"/>
          <w:szCs w:val="32"/>
        </w:rPr>
        <w:t>严肃认真对待工作，熟悉本职工作的职责范围及履职要求，严格履行职责，敬业勤勉，时常反省职责履行情况。</w:t>
      </w:r>
    </w:p>
    <w:p w:rsidR="000D61B1" w:rsidRDefault="00CA1259">
      <w:pPr>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w:t>
      </w:r>
      <w:r>
        <w:rPr>
          <w:rFonts w:ascii="方正仿宋_GBK" w:eastAsia="方正仿宋_GBK" w:hAnsi="方正仿宋_GBK" w:cs="方正仿宋_GBK" w:hint="eastAsia"/>
          <w:sz w:val="32"/>
          <w:szCs w:val="32"/>
        </w:rPr>
        <w:t>崇尚法治，树立正确的合规价值观，坚守合规从业底线，严守法律法规、规章制度，遵循商业规范，恪守道德，廉洁自律，干净干事。</w:t>
      </w:r>
    </w:p>
    <w:p w:rsidR="000D61B1" w:rsidRDefault="00CA1259">
      <w:pPr>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w:t>
      </w:r>
      <w:r>
        <w:rPr>
          <w:rFonts w:ascii="方正仿宋_GBK" w:eastAsia="方正仿宋_GBK" w:hAnsi="方正仿宋_GBK" w:cs="方正仿宋_GBK" w:hint="eastAsia"/>
          <w:sz w:val="32"/>
          <w:szCs w:val="32"/>
        </w:rPr>
        <w:t>遵守诚实正直和公平道德行为准则，拒绝商业贿赂和利益输送行为，禁止谋取非法不道德利益。</w:t>
      </w:r>
    </w:p>
    <w:p w:rsidR="000D61B1" w:rsidRDefault="00CA1259">
      <w:pPr>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lastRenderedPageBreak/>
        <w:t>4.</w:t>
      </w:r>
      <w:r>
        <w:rPr>
          <w:rFonts w:ascii="方正仿宋_GBK" w:eastAsia="方正仿宋_GBK" w:hAnsi="方正仿宋_GBK" w:cs="方正仿宋_GBK" w:hint="eastAsia"/>
          <w:sz w:val="32"/>
          <w:szCs w:val="32"/>
        </w:rPr>
        <w:t>强化合规意识，将“合规管理、人人有责”的思想根植于心，主动识别、避免合规风险。</w:t>
      </w:r>
    </w:p>
    <w:p w:rsidR="000D61B1" w:rsidRDefault="00CA1259">
      <w:pPr>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5.</w:t>
      </w:r>
      <w:r>
        <w:rPr>
          <w:rFonts w:ascii="方正仿宋_GBK" w:eastAsia="方正仿宋_GBK" w:hAnsi="方正仿宋_GBK" w:cs="方正仿宋_GBK" w:hint="eastAsia"/>
          <w:sz w:val="32"/>
          <w:szCs w:val="32"/>
        </w:rPr>
        <w:t>践行合规管理要求，积极主动，敢于监督和对不合规行为举报，坚决杜绝违规行为和事件。</w:t>
      </w:r>
    </w:p>
    <w:p w:rsidR="000D61B1" w:rsidRDefault="00CA1259">
      <w:pPr>
        <w:spacing w:line="540" w:lineRule="exact"/>
        <w:ind w:firstLineChars="200" w:firstLine="64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三、违规事件即时报告</w:t>
      </w:r>
    </w:p>
    <w:p w:rsidR="000D61B1" w:rsidRDefault="00CA1259">
      <w:pPr>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乙方因履行主合同发生违规事件，</w:t>
      </w:r>
      <w:r>
        <w:rPr>
          <w:rFonts w:ascii="方正仿宋_GBK" w:eastAsia="方正仿宋_GBK" w:hAnsi="方正仿宋_GBK" w:cs="方正仿宋_GBK" w:hint="eastAsia"/>
          <w:sz w:val="32"/>
          <w:szCs w:val="32"/>
        </w:rPr>
        <w:t>乙方应在</w:t>
      </w:r>
      <w:r>
        <w:rPr>
          <w:rFonts w:ascii="方正仿宋_GBK" w:eastAsia="方正仿宋_GBK" w:hAnsi="方正仿宋_GBK" w:cs="方正仿宋_GBK" w:hint="eastAsia"/>
          <w:sz w:val="32"/>
          <w:szCs w:val="32"/>
        </w:rPr>
        <w:t>24</w:t>
      </w:r>
      <w:r>
        <w:rPr>
          <w:rFonts w:ascii="方正仿宋_GBK" w:eastAsia="方正仿宋_GBK" w:hAnsi="方正仿宋_GBK" w:cs="方正仿宋_GBK" w:hint="eastAsia"/>
          <w:sz w:val="32"/>
          <w:szCs w:val="32"/>
        </w:rPr>
        <w:t>小时以内以书面形式报甲方，其简况至少包含以下内容：</w:t>
      </w:r>
    </w:p>
    <w:p w:rsidR="000D61B1" w:rsidRDefault="00CA1259">
      <w:pPr>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1.</w:t>
      </w:r>
      <w:r>
        <w:rPr>
          <w:rFonts w:ascii="方正仿宋_GBK" w:eastAsia="方正仿宋_GBK" w:hAnsi="方正仿宋_GBK" w:cs="方正仿宋_GBK" w:hint="eastAsia"/>
          <w:sz w:val="32"/>
          <w:szCs w:val="32"/>
        </w:rPr>
        <w:t>违规事件发生的时间、地点、单位；</w:t>
      </w:r>
    </w:p>
    <w:p w:rsidR="000D61B1" w:rsidRDefault="00CA1259">
      <w:pPr>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2.</w:t>
      </w:r>
      <w:r>
        <w:rPr>
          <w:rFonts w:ascii="方正仿宋_GBK" w:eastAsia="方正仿宋_GBK" w:hAnsi="方正仿宋_GBK" w:cs="方正仿宋_GBK" w:hint="eastAsia"/>
          <w:sz w:val="32"/>
          <w:szCs w:val="32"/>
        </w:rPr>
        <w:t>违规事件的简要经过及处罚内容；</w:t>
      </w:r>
    </w:p>
    <w:p w:rsidR="000D61B1" w:rsidRDefault="00CA1259">
      <w:pPr>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3.</w:t>
      </w:r>
      <w:r>
        <w:rPr>
          <w:rFonts w:ascii="方正仿宋_GBK" w:eastAsia="方正仿宋_GBK" w:hAnsi="方正仿宋_GBK" w:cs="方正仿宋_GBK" w:hint="eastAsia"/>
          <w:sz w:val="32"/>
          <w:szCs w:val="32"/>
        </w:rPr>
        <w:t>违规事件发生的原因。</w:t>
      </w:r>
    </w:p>
    <w:p w:rsidR="000D61B1" w:rsidRDefault="00CA1259">
      <w:pPr>
        <w:spacing w:line="540" w:lineRule="exact"/>
        <w:ind w:firstLineChars="200" w:firstLine="640"/>
        <w:rPr>
          <w:rFonts w:ascii="方正黑体_GBK" w:eastAsia="方正黑体_GBK" w:hAnsi="方正黑体_GBK" w:cs="方正黑体_GBK"/>
          <w:sz w:val="32"/>
          <w:szCs w:val="32"/>
        </w:rPr>
      </w:pPr>
      <w:r>
        <w:rPr>
          <w:rFonts w:ascii="方正黑体_GBK" w:eastAsia="方正黑体_GBK" w:hAnsi="方正黑体_GBK" w:cs="方正黑体_GBK" w:hint="eastAsia"/>
          <w:sz w:val="32"/>
          <w:szCs w:val="32"/>
        </w:rPr>
        <w:t>四、违规事件责任的承担</w:t>
      </w:r>
    </w:p>
    <w:p w:rsidR="000D61B1" w:rsidRDefault="00CA1259">
      <w:pPr>
        <w:spacing w:line="540" w:lineRule="exact"/>
        <w:ind w:firstLineChars="200" w:firstLine="640"/>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乙方在合同履行合同期间因不合规行为，致使甲方受到行政处罚，处罚金由乙方承担；给甲方造成损失的，乙方承担相应赔偿责任。</w:t>
      </w:r>
    </w:p>
    <w:tbl>
      <w:tblPr>
        <w:tblStyle w:val="ad"/>
        <w:tblpPr w:leftFromText="180" w:rightFromText="180" w:vertAnchor="text" w:horzAnchor="page" w:tblpX="1768" w:tblpY="1689"/>
        <w:tblOverlap w:val="never"/>
        <w:tblW w:w="8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61"/>
        <w:gridCol w:w="4261"/>
      </w:tblGrid>
      <w:tr w:rsidR="000D61B1">
        <w:trPr>
          <w:trHeight w:val="3240"/>
        </w:trPr>
        <w:tc>
          <w:tcPr>
            <w:tcW w:w="4261" w:type="dxa"/>
          </w:tcPr>
          <w:p w:rsidR="000D61B1" w:rsidRDefault="00CA1259">
            <w:pPr>
              <w:spacing w:line="54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甲方（发包人、委托人、买方）：</w:t>
            </w:r>
          </w:p>
          <w:p w:rsidR="000D61B1" w:rsidRDefault="000D61B1">
            <w:pPr>
              <w:spacing w:line="540" w:lineRule="exact"/>
              <w:rPr>
                <w:rFonts w:ascii="方正仿宋_GBK" w:eastAsia="方正仿宋_GBK" w:hAnsi="方正仿宋_GBK" w:cs="方正仿宋_GBK"/>
                <w:sz w:val="32"/>
                <w:szCs w:val="32"/>
              </w:rPr>
            </w:pPr>
          </w:p>
          <w:p w:rsidR="000D61B1" w:rsidRDefault="00CA1259">
            <w:pPr>
              <w:spacing w:line="54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法定代表人（负责人）或</w:t>
            </w:r>
          </w:p>
          <w:p w:rsidR="000D61B1" w:rsidRDefault="00CA1259">
            <w:pPr>
              <w:spacing w:line="54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授权代表（签字）：</w:t>
            </w:r>
          </w:p>
          <w:p w:rsidR="000D61B1" w:rsidRDefault="000D61B1">
            <w:pPr>
              <w:spacing w:line="540" w:lineRule="exact"/>
              <w:rPr>
                <w:rFonts w:ascii="方正仿宋_GBK" w:eastAsia="方正仿宋_GBK" w:hAnsi="方正仿宋_GBK" w:cs="方正仿宋_GBK"/>
                <w:sz w:val="32"/>
                <w:szCs w:val="32"/>
              </w:rPr>
            </w:pPr>
          </w:p>
          <w:p w:rsidR="000D61B1" w:rsidRDefault="00CA1259">
            <w:pPr>
              <w:spacing w:line="54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签订日期：</w:t>
            </w:r>
          </w:p>
          <w:p w:rsidR="000D61B1" w:rsidRDefault="000D61B1">
            <w:pPr>
              <w:spacing w:line="540" w:lineRule="exact"/>
              <w:rPr>
                <w:rFonts w:ascii="方正仿宋_GBK" w:eastAsia="方正仿宋_GBK" w:hAnsi="方正仿宋_GBK" w:cs="方正仿宋_GBK"/>
                <w:sz w:val="32"/>
                <w:szCs w:val="32"/>
              </w:rPr>
            </w:pPr>
          </w:p>
        </w:tc>
        <w:tc>
          <w:tcPr>
            <w:tcW w:w="4261" w:type="dxa"/>
          </w:tcPr>
          <w:p w:rsidR="000D61B1" w:rsidRDefault="00CA1259">
            <w:pPr>
              <w:spacing w:line="54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乙方（承包人、受托人、卖方）：</w:t>
            </w:r>
          </w:p>
          <w:p w:rsidR="000D61B1" w:rsidRDefault="000D61B1">
            <w:pPr>
              <w:spacing w:line="540" w:lineRule="exact"/>
              <w:rPr>
                <w:rFonts w:ascii="方正仿宋_GBK" w:eastAsia="方正仿宋_GBK" w:hAnsi="方正仿宋_GBK" w:cs="方正仿宋_GBK"/>
                <w:sz w:val="32"/>
                <w:szCs w:val="32"/>
              </w:rPr>
            </w:pPr>
          </w:p>
          <w:p w:rsidR="000D61B1" w:rsidRDefault="00CA1259">
            <w:pPr>
              <w:spacing w:line="54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法定代表人（负责人）或</w:t>
            </w:r>
          </w:p>
          <w:p w:rsidR="000D61B1" w:rsidRDefault="00CA1259">
            <w:pPr>
              <w:spacing w:line="54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授权代表（签字）：</w:t>
            </w:r>
          </w:p>
          <w:p w:rsidR="000D61B1" w:rsidRDefault="000D61B1">
            <w:pPr>
              <w:spacing w:line="540" w:lineRule="exact"/>
              <w:rPr>
                <w:rFonts w:ascii="方正仿宋_GBK" w:eastAsia="方正仿宋_GBK" w:hAnsi="方正仿宋_GBK" w:cs="方正仿宋_GBK"/>
                <w:sz w:val="32"/>
                <w:szCs w:val="32"/>
              </w:rPr>
            </w:pPr>
          </w:p>
          <w:p w:rsidR="000D61B1" w:rsidRDefault="00CA1259">
            <w:pPr>
              <w:spacing w:line="540" w:lineRule="exact"/>
              <w:rPr>
                <w:rFonts w:ascii="方正仿宋_GBK" w:eastAsia="方正仿宋_GBK" w:hAnsi="方正仿宋_GBK" w:cs="方正仿宋_GBK"/>
                <w:sz w:val="32"/>
                <w:szCs w:val="32"/>
              </w:rPr>
            </w:pPr>
            <w:r>
              <w:rPr>
                <w:rFonts w:ascii="方正仿宋_GBK" w:eastAsia="方正仿宋_GBK" w:hAnsi="方正仿宋_GBK" w:cs="方正仿宋_GBK" w:hint="eastAsia"/>
                <w:sz w:val="32"/>
                <w:szCs w:val="32"/>
              </w:rPr>
              <w:t>签订日期：</w:t>
            </w:r>
          </w:p>
        </w:tc>
      </w:tr>
    </w:tbl>
    <w:p w:rsidR="000D61B1" w:rsidRDefault="000D61B1">
      <w:pPr>
        <w:pStyle w:val="a9"/>
        <w:spacing w:line="540" w:lineRule="exact"/>
      </w:pPr>
    </w:p>
    <w:p w:rsidR="000D61B1" w:rsidRDefault="000D61B1">
      <w:pPr>
        <w:pStyle w:val="a0"/>
      </w:pPr>
    </w:p>
    <w:p w:rsidR="000D61B1" w:rsidRDefault="000D61B1"/>
    <w:p w:rsidR="000D61B1" w:rsidRDefault="000D61B1">
      <w:pPr>
        <w:pStyle w:val="a4"/>
        <w:rPr>
          <w:rFonts w:hint="default"/>
        </w:rPr>
      </w:pPr>
    </w:p>
    <w:p w:rsidR="000D61B1" w:rsidRDefault="000D61B1">
      <w:pPr>
        <w:pStyle w:val="a4"/>
        <w:rPr>
          <w:rFonts w:hint="default"/>
        </w:rPr>
      </w:pPr>
    </w:p>
    <w:p w:rsidR="000D61B1" w:rsidRDefault="00CA1259">
      <w:pPr>
        <w:pStyle w:val="21"/>
        <w:rPr>
          <w:rFonts w:ascii="黑体" w:eastAsia="黑体" w:hAnsi="黑体" w:cs="黑体"/>
          <w:b/>
          <w:kern w:val="2"/>
          <w:sz w:val="24"/>
          <w:szCs w:val="24"/>
          <w:lang w:val="en-US"/>
        </w:rPr>
      </w:pPr>
      <w:r>
        <w:rPr>
          <w:rFonts w:ascii="黑体" w:eastAsia="黑体" w:hAnsi="黑体" w:cs="黑体" w:hint="eastAsia"/>
          <w:b/>
          <w:kern w:val="2"/>
          <w:sz w:val="24"/>
          <w:szCs w:val="24"/>
          <w:lang w:val="en-US"/>
        </w:rPr>
        <w:lastRenderedPageBreak/>
        <w:t>附件</w:t>
      </w:r>
      <w:r>
        <w:rPr>
          <w:rFonts w:ascii="黑体" w:eastAsia="黑体" w:hAnsi="黑体" w:cs="黑体" w:hint="eastAsia"/>
          <w:b/>
          <w:kern w:val="2"/>
          <w:sz w:val="24"/>
          <w:szCs w:val="24"/>
          <w:lang w:val="en-US"/>
        </w:rPr>
        <w:t>3</w:t>
      </w:r>
      <w:r>
        <w:rPr>
          <w:rFonts w:ascii="黑体" w:eastAsia="黑体" w:hAnsi="黑体" w:cs="黑体" w:hint="eastAsia"/>
          <w:b/>
          <w:kern w:val="2"/>
          <w:sz w:val="24"/>
          <w:szCs w:val="24"/>
          <w:lang w:val="en-US"/>
        </w:rPr>
        <w:t>：招标人、招标代理机构及投标人关于招标代理服务费的三方约定</w:t>
      </w:r>
    </w:p>
    <w:p w:rsidR="000D61B1" w:rsidRDefault="000D61B1">
      <w:pPr>
        <w:ind w:firstLineChars="200" w:firstLine="560"/>
        <w:rPr>
          <w:sz w:val="28"/>
          <w:szCs w:val="28"/>
        </w:rPr>
      </w:pPr>
    </w:p>
    <w:p w:rsidR="000D61B1" w:rsidRDefault="00CA1259">
      <w:pPr>
        <w:widowControl/>
        <w:spacing w:beforeAutospacing="1" w:afterAutospacing="1"/>
        <w:ind w:firstLineChars="200" w:firstLine="720"/>
        <w:jc w:val="center"/>
        <w:rPr>
          <w:rFonts w:ascii="方正小标宋_GBK" w:eastAsia="方正小标宋_GBK" w:hAnsi="方正小标宋_GBK" w:cs="方正小标宋_GBK"/>
          <w:kern w:val="0"/>
          <w:sz w:val="36"/>
          <w:szCs w:val="36"/>
          <w:lang/>
        </w:rPr>
      </w:pPr>
      <w:r>
        <w:rPr>
          <w:rFonts w:ascii="方正小标宋_GBK" w:eastAsia="方正小标宋_GBK" w:hAnsi="方正小标宋_GBK" w:cs="方正小标宋_GBK" w:hint="eastAsia"/>
          <w:kern w:val="0"/>
          <w:sz w:val="36"/>
          <w:szCs w:val="36"/>
          <w:lang/>
        </w:rPr>
        <w:t>招标人、招标代理机构与投标人三方约定</w:t>
      </w:r>
    </w:p>
    <w:p w:rsidR="000D61B1" w:rsidRDefault="00CA1259">
      <w:r>
        <w:rPr>
          <w:rFonts w:hint="eastAsia"/>
        </w:rPr>
        <w:t>▲要求为原件由</w:t>
      </w:r>
      <w:r>
        <w:rPr>
          <w:rFonts w:hint="eastAsia"/>
        </w:rPr>
        <w:t>法定代表人或其委托代理人</w:t>
      </w:r>
      <w:r>
        <w:rPr>
          <w:rFonts w:hint="eastAsia"/>
        </w:rPr>
        <w:t>签字</w:t>
      </w:r>
      <w:r>
        <w:rPr>
          <w:rFonts w:hint="eastAsia"/>
        </w:rPr>
        <w:t>、</w:t>
      </w:r>
      <w:r>
        <w:rPr>
          <w:rFonts w:hint="eastAsia"/>
        </w:rPr>
        <w:t>加盖单位公章后，附在商务投标文件中。</w:t>
      </w:r>
    </w:p>
    <w:tbl>
      <w:tblPr>
        <w:tblW w:w="8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69"/>
      </w:tblGrid>
      <w:tr w:rsidR="000D61B1">
        <w:trPr>
          <w:jc w:val="center"/>
        </w:trPr>
        <w:tc>
          <w:tcPr>
            <w:tcW w:w="8269" w:type="dxa"/>
          </w:tcPr>
          <w:p w:rsidR="000D61B1" w:rsidRDefault="000D61B1">
            <w:pPr>
              <w:pStyle w:val="NewNewNewNewNewNewNewNewNewNewNewNewNewNewNewNewNewNewNewNewNewNewNewNewNewNewNewNewNewNewNewNewNewNewNewNewNewNewNewNewNewNewNewNewNewNewNewNewNew"/>
              <w:spacing w:line="360" w:lineRule="auto"/>
              <w:rPr>
                <w:rFonts w:ascii="宋体" w:hAnsi="宋体"/>
                <w:b/>
                <w:bCs/>
                <w:sz w:val="28"/>
                <w:szCs w:val="36"/>
              </w:rPr>
            </w:pPr>
          </w:p>
          <w:p w:rsidR="000D61B1" w:rsidRDefault="00CA1259">
            <w:pPr>
              <w:pStyle w:val="NewNewNewNewNewNewNewNewNewNewNewNewNewNewNewNewNewNewNewNewNewNewNewNewNewNewNewNewNewNewNewNewNewNewNewNewNewNewNewNewNewNewNewNewNewNewNewNewNew"/>
              <w:spacing w:line="360" w:lineRule="auto"/>
              <w:jc w:val="center"/>
              <w:rPr>
                <w:rFonts w:ascii="宋体" w:hAnsi="宋体"/>
                <w:b/>
                <w:sz w:val="20"/>
                <w:szCs w:val="20"/>
              </w:rPr>
            </w:pPr>
            <w:r>
              <w:rPr>
                <w:rFonts w:ascii="宋体" w:hAnsi="宋体" w:hint="eastAsia"/>
                <w:b/>
                <w:bCs/>
                <w:sz w:val="20"/>
                <w:szCs w:val="20"/>
              </w:rPr>
              <w:t>招标人、招标代理机构与投标人三方约定</w:t>
            </w:r>
          </w:p>
          <w:p w:rsidR="000D61B1" w:rsidRDefault="000D61B1">
            <w:pPr>
              <w:pStyle w:val="NewNewNewNewNewNewNewNewNewNewNewNewNewNewNewNewNewNewNewNewNewNewNewNewNewNewNewNewNewNewNewNewNewNewNewNewNewNewNewNewNewNewNewNewNewNewNewNewNew"/>
              <w:rPr>
                <w:rFonts w:ascii="宋体" w:hAnsi="宋体"/>
                <w:sz w:val="20"/>
                <w:szCs w:val="20"/>
              </w:rPr>
            </w:pPr>
          </w:p>
          <w:p w:rsidR="000D61B1" w:rsidRDefault="000D61B1">
            <w:pPr>
              <w:pStyle w:val="NewNewNewNewNewNewNewNewNewNewNewNewNewNewNewNewNewNewNewNewNewNewNewNewNewNewNewNewNewNewNewNewNewNewNewNewNewNewNewNewNewNewNewNewNewNewNewNewNew"/>
              <w:rPr>
                <w:rFonts w:ascii="宋体" w:hAnsi="宋体"/>
                <w:sz w:val="20"/>
                <w:szCs w:val="20"/>
              </w:rPr>
            </w:pPr>
          </w:p>
          <w:p w:rsidR="000D61B1" w:rsidRDefault="000D61B1">
            <w:pPr>
              <w:pStyle w:val="NewNewNewNewNewNewNewNewNewNewNewNewNewNewNewNewNewNewNewNewNewNewNewNewNewNewNewNewNewNewNewNewNewNewNewNewNewNewNewNewNewNewNewNewNewNewNewNewNew"/>
              <w:rPr>
                <w:rFonts w:ascii="宋体" w:hAnsi="宋体"/>
                <w:sz w:val="20"/>
                <w:szCs w:val="20"/>
              </w:rPr>
            </w:pPr>
          </w:p>
          <w:p w:rsidR="000D61B1" w:rsidRDefault="00CA1259">
            <w:pPr>
              <w:pStyle w:val="p0New"/>
              <w:spacing w:line="360" w:lineRule="auto"/>
              <w:ind w:firstLineChars="200" w:firstLine="400"/>
              <w:rPr>
                <w:rFonts w:ascii="宋体" w:hAnsi="宋体"/>
                <w:sz w:val="20"/>
              </w:rPr>
            </w:pPr>
            <w:r>
              <w:rPr>
                <w:rFonts w:ascii="宋体" w:hAnsi="宋体" w:hint="eastAsia"/>
                <w:sz w:val="20"/>
              </w:rPr>
              <w:t>根据中国招标投标协会《关于贯彻</w:t>
            </w:r>
            <w:r>
              <w:rPr>
                <w:rFonts w:ascii="宋体" w:hAnsi="宋体" w:hint="eastAsia"/>
                <w:sz w:val="20"/>
              </w:rPr>
              <w:t>&lt;</w:t>
            </w:r>
            <w:r>
              <w:rPr>
                <w:rFonts w:ascii="宋体" w:hAnsi="宋体" w:hint="eastAsia"/>
                <w:sz w:val="20"/>
              </w:rPr>
              <w:t>国家发展改革委关于进一步放开建设项目专业服务价格的通知（发改价格【</w:t>
            </w:r>
            <w:r>
              <w:rPr>
                <w:rFonts w:ascii="宋体" w:hAnsi="宋体" w:hint="eastAsia"/>
                <w:sz w:val="20"/>
              </w:rPr>
              <w:t>2015</w:t>
            </w:r>
            <w:r>
              <w:rPr>
                <w:rFonts w:ascii="宋体" w:hAnsi="宋体" w:hint="eastAsia"/>
                <w:sz w:val="20"/>
              </w:rPr>
              <w:t>】</w:t>
            </w:r>
            <w:r>
              <w:rPr>
                <w:rFonts w:ascii="宋体" w:hAnsi="宋体" w:hint="eastAsia"/>
                <w:sz w:val="20"/>
              </w:rPr>
              <w:t>299</w:t>
            </w:r>
            <w:r>
              <w:rPr>
                <w:rFonts w:ascii="宋体" w:hAnsi="宋体" w:hint="eastAsia"/>
                <w:sz w:val="20"/>
              </w:rPr>
              <w:t>号）的指导意见</w:t>
            </w:r>
            <w:r>
              <w:rPr>
                <w:rFonts w:ascii="宋体" w:hAnsi="宋体" w:hint="eastAsia"/>
                <w:sz w:val="20"/>
              </w:rPr>
              <w:t>&gt;</w:t>
            </w:r>
            <w:r>
              <w:rPr>
                <w:rFonts w:ascii="宋体" w:hAnsi="宋体" w:hint="eastAsia"/>
                <w:sz w:val="20"/>
              </w:rPr>
              <w:t>》（中招协【</w:t>
            </w:r>
            <w:r>
              <w:rPr>
                <w:rFonts w:ascii="宋体" w:hAnsi="宋体" w:hint="eastAsia"/>
                <w:sz w:val="20"/>
              </w:rPr>
              <w:t>2015</w:t>
            </w:r>
            <w:r>
              <w:rPr>
                <w:rFonts w:ascii="宋体" w:hAnsi="宋体" w:hint="eastAsia"/>
                <w:sz w:val="20"/>
              </w:rPr>
              <w:t>】</w:t>
            </w:r>
            <w:r>
              <w:rPr>
                <w:rFonts w:ascii="宋体" w:hAnsi="宋体" w:hint="eastAsia"/>
                <w:sz w:val="20"/>
              </w:rPr>
              <w:t>026</w:t>
            </w:r>
            <w:r>
              <w:rPr>
                <w:rFonts w:ascii="宋体" w:hAnsi="宋体" w:hint="eastAsia"/>
                <w:sz w:val="20"/>
              </w:rPr>
              <w:t>号），本次招标，招标人、招标代理机构与投标人约定如下：招标代理服务费用包含在投标人的投标总报价中，由招标人随合同款支付给中标人。投标人中标后向招标代理机构支付招标代理服务费用。</w:t>
            </w:r>
          </w:p>
          <w:p w:rsidR="000D61B1" w:rsidRDefault="00CA1259">
            <w:pPr>
              <w:pStyle w:val="p0New"/>
              <w:spacing w:line="360" w:lineRule="auto"/>
              <w:rPr>
                <w:rFonts w:ascii="宋体" w:hAnsi="宋体"/>
                <w:kern w:val="2"/>
                <w:sz w:val="20"/>
              </w:rPr>
            </w:pPr>
            <w:r>
              <w:rPr>
                <w:rFonts w:ascii="宋体" w:hAnsi="宋体" w:hint="eastAsia"/>
                <w:sz w:val="20"/>
              </w:rPr>
              <w:t>法定代表人或其委托代理人签字</w:t>
            </w:r>
            <w:r>
              <w:rPr>
                <w:rFonts w:ascii="宋体" w:hAnsi="宋体" w:hint="eastAsia"/>
                <w:kern w:val="2"/>
                <w:sz w:val="20"/>
              </w:rPr>
              <w:t>：</w:t>
            </w:r>
          </w:p>
          <w:p w:rsidR="000D61B1" w:rsidRDefault="000D61B1">
            <w:pPr>
              <w:pStyle w:val="p0New"/>
              <w:spacing w:line="360" w:lineRule="auto"/>
              <w:rPr>
                <w:rFonts w:ascii="宋体" w:hAnsi="宋体"/>
                <w:kern w:val="2"/>
                <w:sz w:val="20"/>
              </w:rPr>
            </w:pPr>
          </w:p>
          <w:p w:rsidR="000D61B1" w:rsidRDefault="000D61B1">
            <w:pPr>
              <w:pStyle w:val="p0New"/>
              <w:spacing w:line="360" w:lineRule="auto"/>
              <w:rPr>
                <w:rFonts w:ascii="宋体" w:hAnsi="宋体"/>
                <w:kern w:val="2"/>
                <w:sz w:val="20"/>
              </w:rPr>
            </w:pPr>
          </w:p>
          <w:p w:rsidR="000D61B1" w:rsidRDefault="00CA1259">
            <w:pPr>
              <w:pStyle w:val="p0New"/>
              <w:spacing w:line="360" w:lineRule="auto"/>
              <w:rPr>
                <w:rFonts w:ascii="宋体" w:hAnsi="宋体"/>
                <w:kern w:val="2"/>
                <w:sz w:val="20"/>
              </w:rPr>
            </w:pP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 xml:space="preserve"> </w:t>
            </w:r>
            <w:r>
              <w:rPr>
                <w:rFonts w:ascii="宋体" w:hAnsi="宋体" w:hint="eastAsia"/>
                <w:kern w:val="2"/>
                <w:sz w:val="20"/>
              </w:rPr>
              <w:t>投标人（公章）：</w:t>
            </w:r>
          </w:p>
          <w:p w:rsidR="000D61B1" w:rsidRDefault="00CA1259">
            <w:pPr>
              <w:pStyle w:val="NewNewNewNewNewNewNewNewNewNewNewNewNewNewNewNewNewNewNewNewNewNewNewNewNewNewNewNewNewNewNewNewNewNewNewNewNewNewNewNewNewNewNewNewNewNewNewNewNew"/>
              <w:ind w:firstLineChars="2300" w:firstLine="4600"/>
              <w:rPr>
                <w:rFonts w:ascii="宋体" w:hAnsi="宋体"/>
                <w:b/>
                <w:szCs w:val="28"/>
              </w:rPr>
            </w:pPr>
            <w:r>
              <w:rPr>
                <w:rFonts w:ascii="宋体" w:hAnsi="宋体" w:hint="eastAsia"/>
                <w:sz w:val="20"/>
                <w:szCs w:val="20"/>
              </w:rPr>
              <w:t>年</w:t>
            </w:r>
            <w:r>
              <w:rPr>
                <w:rFonts w:ascii="宋体" w:hAnsi="宋体" w:hint="eastAsia"/>
                <w:sz w:val="20"/>
                <w:szCs w:val="20"/>
              </w:rPr>
              <w:t xml:space="preserve"> </w:t>
            </w:r>
            <w:r>
              <w:rPr>
                <w:rFonts w:ascii="宋体" w:hAnsi="宋体" w:hint="eastAsia"/>
                <w:sz w:val="20"/>
                <w:szCs w:val="20"/>
              </w:rPr>
              <w:t xml:space="preserve"> </w:t>
            </w:r>
            <w:r>
              <w:rPr>
                <w:rFonts w:ascii="宋体" w:hAnsi="宋体" w:hint="eastAsia"/>
                <w:sz w:val="20"/>
                <w:szCs w:val="20"/>
              </w:rPr>
              <w:t xml:space="preserve"> </w:t>
            </w:r>
            <w:r>
              <w:rPr>
                <w:rFonts w:ascii="宋体" w:hAnsi="宋体" w:hint="eastAsia"/>
                <w:sz w:val="20"/>
                <w:szCs w:val="20"/>
              </w:rPr>
              <w:t>月</w:t>
            </w:r>
            <w:r>
              <w:rPr>
                <w:rFonts w:ascii="宋体" w:hAnsi="宋体" w:hint="eastAsia"/>
                <w:sz w:val="20"/>
                <w:szCs w:val="20"/>
              </w:rPr>
              <w:t xml:space="preserve"> </w:t>
            </w:r>
            <w:r>
              <w:rPr>
                <w:rFonts w:ascii="宋体" w:hAnsi="宋体" w:hint="eastAsia"/>
                <w:sz w:val="20"/>
                <w:szCs w:val="20"/>
              </w:rPr>
              <w:t xml:space="preserve"> </w:t>
            </w:r>
            <w:r>
              <w:rPr>
                <w:rFonts w:ascii="宋体" w:hAnsi="宋体" w:hint="eastAsia"/>
                <w:sz w:val="20"/>
                <w:szCs w:val="20"/>
              </w:rPr>
              <w:t xml:space="preserve"> </w:t>
            </w:r>
            <w:r>
              <w:rPr>
                <w:rFonts w:ascii="宋体" w:hAnsi="宋体" w:hint="eastAsia"/>
                <w:sz w:val="20"/>
                <w:szCs w:val="20"/>
              </w:rPr>
              <w:t>日</w:t>
            </w:r>
          </w:p>
        </w:tc>
      </w:tr>
    </w:tbl>
    <w:p w:rsidR="000D61B1" w:rsidRDefault="00CA1259">
      <w:pPr>
        <w:tabs>
          <w:tab w:val="left" w:pos="1901"/>
        </w:tabs>
      </w:pPr>
      <w:r>
        <w:rPr>
          <w:rFonts w:hint="eastAsia"/>
        </w:rPr>
        <w:tab/>
      </w:r>
    </w:p>
    <w:p w:rsidR="000D61B1" w:rsidRDefault="000D61B1"/>
    <w:p w:rsidR="000D61B1" w:rsidRDefault="000D61B1">
      <w:pPr>
        <w:pStyle w:val="a0"/>
      </w:pPr>
    </w:p>
    <w:p w:rsidR="000D61B1" w:rsidRDefault="000D61B1">
      <w:pPr>
        <w:pStyle w:val="a0"/>
      </w:pPr>
    </w:p>
    <w:p w:rsidR="000D61B1" w:rsidRDefault="000D61B1">
      <w:pPr>
        <w:pStyle w:val="a4"/>
        <w:rPr>
          <w:rFonts w:hint="default"/>
        </w:rPr>
      </w:pPr>
    </w:p>
    <w:p w:rsidR="000D61B1" w:rsidRDefault="000D61B1">
      <w:pPr>
        <w:pStyle w:val="a4"/>
        <w:rPr>
          <w:rFonts w:hint="default"/>
        </w:rPr>
      </w:pPr>
    </w:p>
    <w:p w:rsidR="000D61B1" w:rsidRDefault="000D61B1">
      <w:pPr>
        <w:pStyle w:val="a4"/>
        <w:rPr>
          <w:rFonts w:hint="default"/>
        </w:rPr>
      </w:pPr>
    </w:p>
    <w:p w:rsidR="000D61B1" w:rsidRDefault="000D61B1">
      <w:pPr>
        <w:pStyle w:val="a4"/>
        <w:rPr>
          <w:rFonts w:hint="default"/>
        </w:rPr>
      </w:pPr>
    </w:p>
    <w:p w:rsidR="000D61B1" w:rsidRDefault="000D61B1">
      <w:pPr>
        <w:pStyle w:val="a4"/>
        <w:rPr>
          <w:rFonts w:hint="default"/>
        </w:rPr>
      </w:pPr>
    </w:p>
    <w:p w:rsidR="000D61B1" w:rsidRDefault="000D61B1">
      <w:pPr>
        <w:pStyle w:val="a4"/>
        <w:rPr>
          <w:rFonts w:hint="default"/>
        </w:rPr>
      </w:pPr>
    </w:p>
    <w:p w:rsidR="000D61B1" w:rsidRDefault="000D61B1">
      <w:pPr>
        <w:pStyle w:val="a4"/>
        <w:rPr>
          <w:rFonts w:hint="default"/>
        </w:rPr>
      </w:pPr>
    </w:p>
    <w:p w:rsidR="000D61B1" w:rsidRDefault="000D61B1">
      <w:pPr>
        <w:pStyle w:val="a4"/>
        <w:rPr>
          <w:rFonts w:hint="default"/>
        </w:rPr>
      </w:pPr>
    </w:p>
    <w:p w:rsidR="000D61B1" w:rsidRDefault="000D61B1">
      <w:pPr>
        <w:pStyle w:val="a4"/>
        <w:rPr>
          <w:rFonts w:hint="default"/>
        </w:rPr>
      </w:pPr>
    </w:p>
    <w:p w:rsidR="000D61B1" w:rsidRDefault="000D61B1">
      <w:pPr>
        <w:pStyle w:val="a4"/>
        <w:rPr>
          <w:rFonts w:hint="default"/>
        </w:rPr>
      </w:pPr>
    </w:p>
    <w:p w:rsidR="000D61B1" w:rsidRDefault="000D61B1">
      <w:pPr>
        <w:pStyle w:val="a4"/>
        <w:rPr>
          <w:rFonts w:hint="default"/>
        </w:rPr>
      </w:pPr>
    </w:p>
    <w:p w:rsidR="000D61B1" w:rsidRDefault="000D61B1">
      <w:pPr>
        <w:pStyle w:val="a4"/>
        <w:rPr>
          <w:rFonts w:hint="default"/>
        </w:rPr>
      </w:pPr>
    </w:p>
    <w:p w:rsidR="000D61B1" w:rsidRDefault="00CA1259">
      <w:pPr>
        <w:rPr>
          <w:rFonts w:ascii="黑体" w:eastAsia="黑体" w:hAnsi="黑体" w:cs="黑体"/>
          <w:b/>
          <w:sz w:val="24"/>
          <w:szCs w:val="24"/>
        </w:rPr>
      </w:pPr>
      <w:r>
        <w:rPr>
          <w:rFonts w:ascii="黑体" w:eastAsia="黑体" w:hAnsi="黑体" w:cs="黑体" w:hint="eastAsia"/>
          <w:b/>
          <w:sz w:val="24"/>
          <w:szCs w:val="24"/>
        </w:rPr>
        <w:br w:type="page"/>
      </w:r>
    </w:p>
    <w:p w:rsidR="000D61B1" w:rsidRDefault="00CA1259">
      <w:pPr>
        <w:pStyle w:val="21"/>
        <w:rPr>
          <w:rFonts w:ascii="黑体" w:eastAsia="黑体" w:hAnsi="黑体" w:cs="黑体"/>
          <w:b/>
          <w:kern w:val="2"/>
          <w:sz w:val="24"/>
          <w:szCs w:val="24"/>
          <w:lang w:val="en-US"/>
        </w:rPr>
      </w:pPr>
      <w:r>
        <w:rPr>
          <w:rFonts w:ascii="黑体" w:eastAsia="黑体" w:hAnsi="黑体" w:cs="黑体" w:hint="eastAsia"/>
          <w:b/>
          <w:kern w:val="2"/>
          <w:sz w:val="24"/>
          <w:szCs w:val="24"/>
          <w:lang w:val="en-US"/>
        </w:rPr>
        <w:lastRenderedPageBreak/>
        <w:t>附件</w:t>
      </w:r>
      <w:r>
        <w:rPr>
          <w:rFonts w:ascii="黑体" w:eastAsia="黑体" w:hAnsi="黑体" w:cs="黑体" w:hint="eastAsia"/>
          <w:b/>
          <w:kern w:val="2"/>
          <w:sz w:val="24"/>
          <w:szCs w:val="24"/>
          <w:lang w:val="en-US"/>
        </w:rPr>
        <w:t>4</w:t>
      </w:r>
      <w:r>
        <w:rPr>
          <w:rFonts w:ascii="黑体" w:eastAsia="黑体" w:hAnsi="黑体" w:cs="黑体" w:hint="eastAsia"/>
          <w:b/>
          <w:kern w:val="2"/>
          <w:sz w:val="24"/>
          <w:szCs w:val="24"/>
          <w:lang w:val="en-US"/>
        </w:rPr>
        <w:t>：供应商关于配合开展资质能力信息核实的承诺函</w:t>
      </w:r>
    </w:p>
    <w:p w:rsidR="000D61B1" w:rsidRDefault="00CA1259">
      <w:pPr>
        <w:widowControl/>
        <w:spacing w:beforeAutospacing="1" w:afterAutospacing="1"/>
        <w:ind w:firstLineChars="200" w:firstLine="720"/>
        <w:rPr>
          <w:rFonts w:ascii="方正小标宋_GBK" w:eastAsia="方正小标宋_GBK" w:hAnsi="方正小标宋_GBK" w:cs="方正小标宋_GBK"/>
          <w:kern w:val="0"/>
          <w:sz w:val="36"/>
          <w:szCs w:val="36"/>
          <w:lang/>
        </w:rPr>
      </w:pPr>
      <w:r>
        <w:rPr>
          <w:rFonts w:ascii="方正小标宋_GBK" w:eastAsia="方正小标宋_GBK" w:hAnsi="方正小标宋_GBK" w:cs="方正小标宋_GBK" w:hint="eastAsia"/>
          <w:kern w:val="0"/>
          <w:sz w:val="36"/>
          <w:szCs w:val="36"/>
          <w:lang/>
        </w:rPr>
        <w:t>供应商关于配合开展资质能力信息核实的承诺函</w:t>
      </w:r>
    </w:p>
    <w:p w:rsidR="000D61B1" w:rsidRDefault="000D61B1">
      <w:pPr>
        <w:pStyle w:val="a4"/>
        <w:rPr>
          <w:rFonts w:hint="default"/>
        </w:rPr>
      </w:pPr>
    </w:p>
    <w:p w:rsidR="000D61B1" w:rsidRDefault="00CA1259">
      <w:pPr>
        <w:widowControl/>
        <w:spacing w:beforeAutospacing="1" w:afterAutospacing="1"/>
        <w:rPr>
          <w:rFonts w:ascii="Calibri" w:hAnsi="Calibri" w:cs="Calibri"/>
        </w:rPr>
      </w:pPr>
      <w:r>
        <w:rPr>
          <w:rFonts w:ascii="仿宋_GB2312" w:eastAsia="仿宋_GB2312" w:hAnsi="Calibri" w:cs="仿宋_GB2312" w:hint="eastAsia"/>
          <w:kern w:val="0"/>
          <w:sz w:val="32"/>
          <w:szCs w:val="32"/>
          <w:lang/>
        </w:rPr>
        <w:t>**</w:t>
      </w:r>
      <w:r>
        <w:rPr>
          <w:rFonts w:ascii="仿宋_GB2312" w:eastAsia="仿宋_GB2312" w:hAnsi="Calibri" w:cs="仿宋_GB2312" w:hint="eastAsia"/>
          <w:kern w:val="0"/>
          <w:sz w:val="32"/>
          <w:szCs w:val="32"/>
          <w:lang/>
        </w:rPr>
        <w:t>招标人</w:t>
      </w:r>
      <w:r>
        <w:rPr>
          <w:rFonts w:ascii="仿宋_GB2312" w:eastAsia="仿宋_GB2312" w:hAnsi="Calibri" w:cs="仿宋_GB2312" w:hint="eastAsia"/>
          <w:kern w:val="0"/>
          <w:sz w:val="32"/>
          <w:szCs w:val="32"/>
          <w:lang/>
        </w:rPr>
        <w:t>/**</w:t>
      </w:r>
      <w:r>
        <w:rPr>
          <w:rFonts w:ascii="仿宋_GB2312" w:eastAsia="仿宋_GB2312" w:hAnsi="Calibri" w:cs="仿宋_GB2312" w:hint="eastAsia"/>
          <w:kern w:val="0"/>
          <w:sz w:val="32"/>
          <w:szCs w:val="32"/>
          <w:lang/>
        </w:rPr>
        <w:t>代理机构：</w:t>
      </w:r>
      <w:r>
        <w:rPr>
          <w:rFonts w:ascii="仿宋_GB2312" w:eastAsia="仿宋_GB2312" w:hAnsi="Calibri" w:cs="仿宋_GB2312" w:hint="eastAsia"/>
          <w:kern w:val="0"/>
          <w:sz w:val="32"/>
          <w:szCs w:val="32"/>
          <w:lang/>
        </w:rPr>
        <w:t> </w:t>
      </w:r>
    </w:p>
    <w:p w:rsidR="000D61B1" w:rsidRDefault="00CA1259">
      <w:pPr>
        <w:widowControl/>
        <w:spacing w:beforeAutospacing="1" w:afterAutospacing="1"/>
        <w:ind w:firstLineChars="200" w:firstLine="640"/>
        <w:rPr>
          <w:rFonts w:ascii="Calibri" w:hAnsi="Calibri" w:cs="Calibri"/>
        </w:rPr>
      </w:pPr>
      <w:r>
        <w:rPr>
          <w:rFonts w:ascii="仿宋_GB2312" w:eastAsia="仿宋_GB2312" w:hAnsi="Calibri" w:cs="仿宋_GB2312" w:hint="eastAsia"/>
          <w:kern w:val="0"/>
          <w:sz w:val="32"/>
          <w:szCs w:val="32"/>
          <w:lang/>
        </w:rPr>
        <w:t>我方（投标人）现郑重承诺如下：</w:t>
      </w:r>
    </w:p>
    <w:p w:rsidR="000D61B1" w:rsidRDefault="00CA1259">
      <w:pPr>
        <w:widowControl/>
        <w:spacing w:beforeAutospacing="1" w:afterAutospacing="1" w:line="360" w:lineRule="auto"/>
        <w:ind w:firstLine="640"/>
        <w:rPr>
          <w:rFonts w:ascii="Calibri" w:hAnsi="Calibri" w:cs="Calibri"/>
        </w:rPr>
      </w:pPr>
      <w:r>
        <w:rPr>
          <w:rFonts w:ascii="仿宋_GB2312" w:eastAsia="仿宋_GB2312" w:hAnsi="Calibri" w:cs="仿宋_GB2312" w:hint="eastAsia"/>
          <w:kern w:val="0"/>
          <w:sz w:val="32"/>
          <w:szCs w:val="32"/>
          <w:lang/>
        </w:rPr>
        <w:t>我方及外购外协供应商（如有）将充分配合国家电网有限公司开展供应商资质能力核实工作，如我方或外购外协供应商（如有）未配合，或投标信息不真实准确，或经核实不具备生产投标产品所需的生产能力，我方同意被取消中标资格。同时如我方或外购外协供应商（如有）提供虚假投标信息，我方同意接受被纳入供应商不良行为处理的后果。</w:t>
      </w:r>
    </w:p>
    <w:p w:rsidR="000D61B1" w:rsidRDefault="00CA1259">
      <w:pPr>
        <w:widowControl/>
        <w:spacing w:beforeAutospacing="1" w:afterAutospacing="1"/>
        <w:rPr>
          <w:rFonts w:ascii="仿宋_GB2312" w:eastAsia="仿宋_GB2312" w:hAnsi="Calibri" w:cs="仿宋_GB2312"/>
          <w:kern w:val="0"/>
          <w:sz w:val="32"/>
          <w:szCs w:val="32"/>
          <w:lang/>
        </w:rPr>
      </w:pPr>
      <w:r>
        <w:rPr>
          <w:rFonts w:ascii="仿宋_GB2312" w:eastAsia="仿宋_GB2312" w:hAnsi="Calibri" w:cs="仿宋_GB2312" w:hint="eastAsia"/>
          <w:kern w:val="0"/>
          <w:sz w:val="32"/>
          <w:szCs w:val="32"/>
          <w:lang/>
        </w:rPr>
        <w:t> </w:t>
      </w:r>
    </w:p>
    <w:p w:rsidR="000D61B1" w:rsidRDefault="00CA1259">
      <w:pPr>
        <w:widowControl/>
        <w:spacing w:beforeAutospacing="1" w:afterAutospacing="1"/>
        <w:jc w:val="right"/>
        <w:rPr>
          <w:rFonts w:ascii="Calibri" w:hAnsi="Calibri" w:cs="Calibri"/>
        </w:rPr>
      </w:pPr>
      <w:r>
        <w:rPr>
          <w:rFonts w:ascii="仿宋_GB2312" w:eastAsia="仿宋_GB2312" w:hAnsi="Calibri" w:cs="仿宋_GB2312" w:hint="eastAsia"/>
          <w:kern w:val="0"/>
          <w:sz w:val="32"/>
          <w:szCs w:val="32"/>
          <w:lang/>
        </w:rPr>
        <w:t>投标人：（盖单位章）</w:t>
      </w:r>
    </w:p>
    <w:p w:rsidR="000D61B1" w:rsidRDefault="000D61B1">
      <w:pPr>
        <w:widowControl/>
        <w:spacing w:beforeAutospacing="1" w:afterAutospacing="1"/>
        <w:jc w:val="right"/>
        <w:rPr>
          <w:rFonts w:ascii="Calibri" w:hAnsi="Calibri" w:cs="Calibri"/>
        </w:rPr>
      </w:pPr>
    </w:p>
    <w:p w:rsidR="000D61B1" w:rsidRDefault="00CA1259">
      <w:pPr>
        <w:widowControl/>
        <w:spacing w:beforeAutospacing="1" w:afterAutospacing="1"/>
        <w:jc w:val="right"/>
        <w:rPr>
          <w:rFonts w:ascii="Calibri" w:hAnsi="Calibri" w:cs="Calibri"/>
        </w:rPr>
      </w:pPr>
      <w:r>
        <w:rPr>
          <w:rFonts w:ascii="仿宋_GB2312" w:eastAsia="仿宋_GB2312" w:hAnsi="Calibri" w:cs="仿宋_GB2312" w:hint="eastAsia"/>
          <w:kern w:val="0"/>
          <w:sz w:val="32"/>
          <w:szCs w:val="32"/>
          <w:lang/>
        </w:rPr>
        <w:t>时间：</w:t>
      </w:r>
      <w:r>
        <w:rPr>
          <w:rFonts w:ascii="仿宋_GB2312" w:eastAsia="仿宋_GB2312" w:hAnsi="Calibri" w:cs="仿宋_GB2312" w:hint="eastAsia"/>
          <w:kern w:val="0"/>
          <w:sz w:val="32"/>
          <w:szCs w:val="32"/>
          <w:lang/>
        </w:rPr>
        <w:t> </w:t>
      </w:r>
      <w:r>
        <w:rPr>
          <w:rFonts w:ascii="仿宋_GB2312" w:eastAsia="仿宋_GB2312" w:hAnsi="Calibri" w:cs="仿宋_GB2312" w:hint="eastAsia"/>
          <w:kern w:val="0"/>
          <w:sz w:val="32"/>
          <w:szCs w:val="32"/>
          <w:lang/>
        </w:rPr>
        <w:t> </w:t>
      </w:r>
      <w:r>
        <w:rPr>
          <w:rFonts w:ascii="仿宋_GB2312" w:eastAsia="仿宋_GB2312" w:hAnsi="Calibri" w:cs="仿宋_GB2312" w:hint="eastAsia"/>
          <w:kern w:val="0"/>
          <w:sz w:val="32"/>
          <w:szCs w:val="32"/>
          <w:lang/>
        </w:rPr>
        <w:t> </w:t>
      </w:r>
      <w:r>
        <w:rPr>
          <w:rFonts w:ascii="仿宋_GB2312" w:eastAsia="仿宋_GB2312" w:hAnsi="Calibri" w:cs="仿宋_GB2312" w:hint="eastAsia"/>
          <w:kern w:val="0"/>
          <w:sz w:val="32"/>
          <w:szCs w:val="32"/>
          <w:lang/>
        </w:rPr>
        <w:t> </w:t>
      </w:r>
      <w:r>
        <w:rPr>
          <w:rFonts w:ascii="仿宋_GB2312" w:eastAsia="仿宋_GB2312" w:hAnsi="Calibri" w:cs="仿宋_GB2312" w:hint="eastAsia"/>
          <w:kern w:val="0"/>
          <w:sz w:val="32"/>
          <w:szCs w:val="32"/>
          <w:lang/>
        </w:rPr>
        <w:t>年</w:t>
      </w:r>
      <w:r>
        <w:rPr>
          <w:rFonts w:ascii="仿宋_GB2312" w:eastAsia="仿宋_GB2312" w:hAnsi="Calibri" w:cs="仿宋_GB2312" w:hint="eastAsia"/>
          <w:kern w:val="0"/>
          <w:sz w:val="32"/>
          <w:szCs w:val="32"/>
          <w:lang/>
        </w:rPr>
        <w:t> </w:t>
      </w:r>
      <w:r>
        <w:rPr>
          <w:rFonts w:ascii="仿宋_GB2312" w:eastAsia="仿宋_GB2312" w:hAnsi="Calibri" w:cs="仿宋_GB2312" w:hint="eastAsia"/>
          <w:kern w:val="0"/>
          <w:sz w:val="32"/>
          <w:szCs w:val="32"/>
          <w:lang/>
        </w:rPr>
        <w:t> </w:t>
      </w:r>
      <w:r>
        <w:rPr>
          <w:rFonts w:ascii="仿宋_GB2312" w:eastAsia="仿宋_GB2312" w:hAnsi="Calibri" w:cs="仿宋_GB2312" w:hint="eastAsia"/>
          <w:kern w:val="0"/>
          <w:sz w:val="32"/>
          <w:szCs w:val="32"/>
          <w:lang/>
        </w:rPr>
        <w:t> </w:t>
      </w:r>
      <w:r>
        <w:rPr>
          <w:rFonts w:ascii="仿宋_GB2312" w:eastAsia="仿宋_GB2312" w:hAnsi="Calibri" w:cs="仿宋_GB2312" w:hint="eastAsia"/>
          <w:kern w:val="0"/>
          <w:sz w:val="32"/>
          <w:szCs w:val="32"/>
          <w:lang/>
        </w:rPr>
        <w:t> </w:t>
      </w:r>
      <w:r>
        <w:rPr>
          <w:rFonts w:ascii="仿宋_GB2312" w:eastAsia="仿宋_GB2312" w:hAnsi="Calibri" w:cs="仿宋_GB2312" w:hint="eastAsia"/>
          <w:kern w:val="0"/>
          <w:sz w:val="32"/>
          <w:szCs w:val="32"/>
          <w:lang/>
        </w:rPr>
        <w:t>月</w:t>
      </w:r>
      <w:r>
        <w:rPr>
          <w:rFonts w:ascii="仿宋_GB2312" w:eastAsia="仿宋_GB2312" w:hAnsi="Calibri" w:cs="仿宋_GB2312" w:hint="eastAsia"/>
          <w:kern w:val="0"/>
          <w:sz w:val="32"/>
          <w:szCs w:val="32"/>
          <w:lang/>
        </w:rPr>
        <w:t> </w:t>
      </w:r>
      <w:r>
        <w:rPr>
          <w:rFonts w:ascii="仿宋_GB2312" w:eastAsia="仿宋_GB2312" w:hAnsi="Calibri" w:cs="仿宋_GB2312" w:hint="eastAsia"/>
          <w:kern w:val="0"/>
          <w:sz w:val="32"/>
          <w:szCs w:val="32"/>
          <w:lang/>
        </w:rPr>
        <w:t> </w:t>
      </w:r>
      <w:r>
        <w:rPr>
          <w:rFonts w:ascii="仿宋_GB2312" w:eastAsia="仿宋_GB2312" w:hAnsi="Calibri" w:cs="仿宋_GB2312" w:hint="eastAsia"/>
          <w:kern w:val="0"/>
          <w:sz w:val="32"/>
          <w:szCs w:val="32"/>
          <w:lang/>
        </w:rPr>
        <w:t> </w:t>
      </w:r>
      <w:r>
        <w:rPr>
          <w:rFonts w:ascii="仿宋_GB2312" w:eastAsia="仿宋_GB2312" w:hAnsi="Calibri" w:cs="仿宋_GB2312" w:hint="eastAsia"/>
          <w:kern w:val="0"/>
          <w:sz w:val="32"/>
          <w:szCs w:val="32"/>
          <w:lang/>
        </w:rPr>
        <w:t> </w:t>
      </w:r>
      <w:r>
        <w:rPr>
          <w:rFonts w:ascii="仿宋_GB2312" w:eastAsia="仿宋_GB2312" w:hAnsi="Calibri" w:cs="仿宋_GB2312" w:hint="eastAsia"/>
          <w:kern w:val="0"/>
          <w:sz w:val="32"/>
          <w:szCs w:val="32"/>
          <w:lang/>
        </w:rPr>
        <w:t>日</w:t>
      </w:r>
    </w:p>
    <w:p w:rsidR="000D61B1" w:rsidRDefault="000D61B1">
      <w:pPr>
        <w:pStyle w:val="8"/>
        <w:rPr>
          <w:rFonts w:hAnsi="Calibri" w:cs="Times New Roman"/>
          <w:sz w:val="24"/>
          <w:szCs w:val="24"/>
        </w:rPr>
      </w:pPr>
    </w:p>
    <w:p w:rsidR="000D61B1" w:rsidRDefault="000D61B1">
      <w:pPr>
        <w:pStyle w:val="8"/>
        <w:rPr>
          <w:rFonts w:hAnsi="Calibri" w:cs="Times New Roman"/>
          <w:sz w:val="24"/>
          <w:szCs w:val="24"/>
        </w:rPr>
      </w:pPr>
    </w:p>
    <w:p w:rsidR="000D61B1" w:rsidRDefault="000D61B1">
      <w:pPr>
        <w:pStyle w:val="8"/>
        <w:rPr>
          <w:rFonts w:hAnsi="Calibri" w:cs="Times New Roman"/>
          <w:sz w:val="24"/>
          <w:szCs w:val="24"/>
        </w:rPr>
      </w:pPr>
    </w:p>
    <w:p w:rsidR="000D61B1" w:rsidRDefault="000D61B1">
      <w:pPr>
        <w:pStyle w:val="8"/>
        <w:rPr>
          <w:rFonts w:hAnsi="Calibri" w:cs="Times New Roman"/>
          <w:sz w:val="24"/>
          <w:szCs w:val="24"/>
        </w:rPr>
      </w:pPr>
    </w:p>
    <w:p w:rsidR="000D61B1" w:rsidRDefault="000D61B1">
      <w:pPr>
        <w:rPr>
          <w:szCs w:val="22"/>
        </w:rPr>
      </w:pPr>
    </w:p>
    <w:p w:rsidR="000D61B1" w:rsidRDefault="000D61B1"/>
    <w:sectPr w:rsidR="000D61B1" w:rsidSect="000D61B1">
      <w:headerReference w:type="default" r:id="rId14"/>
      <w:footerReference w:type="default" r:id="rId15"/>
      <w:footnotePr>
        <w:pos w:val="beneathText"/>
      </w:footnotePr>
      <w:pgSz w:w="11906" w:h="16838"/>
      <w:pgMar w:top="1797" w:right="1440" w:bottom="1797" w:left="1440" w:header="851" w:footer="851" w:gutter="0"/>
      <w:cols w:space="720"/>
      <w:titlePg/>
      <w:docGrid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1259" w:rsidRDefault="00CA1259" w:rsidP="000D61B1">
      <w:r>
        <w:separator/>
      </w:r>
    </w:p>
  </w:endnote>
  <w:endnote w:type="continuationSeparator" w:id="0">
    <w:p w:rsidR="00CA1259" w:rsidRDefault="00CA1259" w:rsidP="000D61B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JhengHei">
    <w:panose1 w:val="020B0604030504040204"/>
    <w:charset w:val="88"/>
    <w:family w:val="swiss"/>
    <w:pitch w:val="variable"/>
    <w:sig w:usb0="00000087" w:usb1="288F4000" w:usb2="00000016" w:usb3="00000000" w:csb0="00100009"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方正小标宋_GBK">
    <w:altName w:val="微软雅黑"/>
    <w:charset w:val="86"/>
    <w:family w:val="script"/>
    <w:pitch w:val="default"/>
    <w:sig w:usb0="00000000" w:usb1="080E0000" w:usb2="00000000" w:usb3="00000000" w:csb0="00040000" w:csb1="00000000"/>
  </w:font>
  <w:font w:name="方正仿宋_GBK">
    <w:altName w:val="微软雅黑"/>
    <w:charset w:val="86"/>
    <w:family w:val="script"/>
    <w:pitch w:val="default"/>
    <w:sig w:usb0="00000000" w:usb1="080E0000" w:usb2="00000000" w:usb3="00000000" w:csb0="00040000" w:csb1="00000000"/>
  </w:font>
  <w:font w:name="方正黑体_GBK">
    <w:altName w:val="微软雅黑"/>
    <w:charset w:val="86"/>
    <w:family w:val="auto"/>
    <w:pitch w:val="default"/>
    <w:sig w:usb0="00000000" w:usb1="080E0000" w:usb2="00000000" w:usb3="00000000" w:csb0="00040000" w:csb1="00000000"/>
  </w:font>
  <w:font w:name="仿宋_GB2312">
    <w:altName w:val="微软雅黑"/>
    <w:charset w:val="86"/>
    <w:family w:val="auto"/>
    <w:pitch w:val="default"/>
    <w:sig w:usb0="00000000" w:usb1="080E0000" w:usb2="00000000" w:usb3="00000000" w:csb0="00040000" w:csb1="00000000"/>
  </w:font>
  <w:font w:name="等线">
    <w:altName w:val="微软雅黑"/>
    <w:charset w:val="86"/>
    <w:family w:val="auto"/>
    <w:pitch w:val="default"/>
    <w:sig w:usb0="00000000" w:usb1="38CF7CFA" w:usb2="00000016" w:usb3="00000000" w:csb0="0004000F" w:csb1="00000000"/>
  </w:font>
  <w:font w:name="等线 Light">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B1" w:rsidRDefault="000D61B1">
    <w:pPr>
      <w:pStyle w:val="a0"/>
      <w:spacing w:line="14" w:lineRule="auto"/>
      <w:ind w:firstLine="240"/>
      <w:rPr>
        <w:sz w:val="1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B1" w:rsidRDefault="000D61B1">
    <w:pPr>
      <w:pStyle w:val="a9"/>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B1" w:rsidRDefault="000D61B1">
    <w:pPr>
      <w:pStyle w:val="a0"/>
      <w:spacing w:line="14" w:lineRule="auto"/>
      <w:ind w:firstLine="240"/>
      <w:rPr>
        <w:sz w:val="12"/>
      </w:rPr>
    </w:pPr>
    <w:r w:rsidRPr="000D61B1">
      <w:rPr>
        <w:sz w:val="12"/>
      </w:rPr>
      <w:pict>
        <v:shapetype id="_x0000_t202" coordsize="21600,21600" o:spt="202" path="m,l,21600r21600,l21600,xe">
          <v:stroke joinstyle="miter"/>
          <v:path gradientshapeok="t" o:connecttype="rect"/>
        </v:shapetype>
        <v:shape id="_x0000_s2049"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filled="f" stroked="f" strokeweight=".5pt">
          <v:textbox style="mso-fit-shape-to-text:t" inset="0,0,0,0">
            <w:txbxContent>
              <w:p w:rsidR="000D61B1" w:rsidRDefault="000D61B1">
                <w:pPr>
                  <w:pStyle w:val="a9"/>
                  <w:rPr>
                    <w:rFonts w:eastAsia="等线"/>
                  </w:rPr>
                </w:pPr>
                <w:r>
                  <w:rPr>
                    <w:rFonts w:hint="eastAsia"/>
                  </w:rPr>
                  <w:fldChar w:fldCharType="begin"/>
                </w:r>
                <w:r w:rsidR="00CA1259">
                  <w:rPr>
                    <w:rFonts w:hint="eastAsia"/>
                  </w:rPr>
                  <w:instrText xml:space="preserve"> PAGE  \* MERGEFORMAT </w:instrText>
                </w:r>
                <w:r>
                  <w:rPr>
                    <w:rFonts w:hint="eastAsia"/>
                  </w:rPr>
                  <w:fldChar w:fldCharType="separate"/>
                </w:r>
                <w:r w:rsidR="001E0201">
                  <w:rPr>
                    <w:noProof/>
                  </w:rPr>
                  <w:t>11</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1259" w:rsidRDefault="00CA1259" w:rsidP="000D61B1">
      <w:r>
        <w:separator/>
      </w:r>
    </w:p>
  </w:footnote>
  <w:footnote w:type="continuationSeparator" w:id="0">
    <w:p w:rsidR="00CA1259" w:rsidRDefault="00CA1259" w:rsidP="000D61B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B1" w:rsidRDefault="000D61B1">
    <w:pPr>
      <w:pStyle w:val="aa"/>
      <w:pBdr>
        <w:bottom w:val="none" w:sz="0" w:space="1" w:color="auto"/>
      </w:pBd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B1" w:rsidRDefault="000D61B1">
    <w:pPr>
      <w:pStyle w:val="aa"/>
      <w:pBdr>
        <w:bottom w:val="none" w:sz="0" w:space="1" w:color="auto"/>
      </w:pBdr>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61B1" w:rsidRDefault="000D61B1">
    <w:pPr>
      <w:pStyle w:val="aa"/>
      <w:pBdr>
        <w:bottom w:val="none" w:sz="0" w:space="0"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C5113EF"/>
    <w:multiLevelType w:val="singleLevel"/>
    <w:tmpl w:val="8C5113EF"/>
    <w:lvl w:ilvl="0">
      <w:start w:val="1"/>
      <w:numFmt w:val="decimal"/>
      <w:suff w:val="nothing"/>
      <w:lvlText w:val="%1、"/>
      <w:lvlJc w:val="left"/>
    </w:lvl>
  </w:abstractNum>
  <w:abstractNum w:abstractNumId="1">
    <w:nsid w:val="368AA714"/>
    <w:multiLevelType w:val="singleLevel"/>
    <w:tmpl w:val="368AA714"/>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420"/>
  <w:drawingGridVerticalSpacing w:val="156"/>
  <w:noPunctuationKerning/>
  <w:characterSpacingControl w:val="compressPunctuation"/>
  <w:hdrShapeDefaults>
    <o:shapedefaults v:ext="edit" spidmax="307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ODM1MmNiYzE3MzFlYjQ5ZTZjMWE5NTgzYmRhODM1MzcifQ=="/>
  </w:docVars>
  <w:rsids>
    <w:rsidRoot w:val="00815FD4"/>
    <w:rsid w:val="000614A2"/>
    <w:rsid w:val="000D61B1"/>
    <w:rsid w:val="001E0201"/>
    <w:rsid w:val="0041336F"/>
    <w:rsid w:val="00815FD4"/>
    <w:rsid w:val="00850B53"/>
    <w:rsid w:val="00A62108"/>
    <w:rsid w:val="00B42EA6"/>
    <w:rsid w:val="00CA1259"/>
    <w:rsid w:val="00D47C8C"/>
    <w:rsid w:val="00FF22C0"/>
    <w:rsid w:val="011B7899"/>
    <w:rsid w:val="011F7E99"/>
    <w:rsid w:val="01AF2E55"/>
    <w:rsid w:val="028119B0"/>
    <w:rsid w:val="03956232"/>
    <w:rsid w:val="03A71F02"/>
    <w:rsid w:val="04CE54E8"/>
    <w:rsid w:val="05544167"/>
    <w:rsid w:val="07002874"/>
    <w:rsid w:val="081D6481"/>
    <w:rsid w:val="0860149A"/>
    <w:rsid w:val="08E14E2D"/>
    <w:rsid w:val="08F80A79"/>
    <w:rsid w:val="09572079"/>
    <w:rsid w:val="09D90933"/>
    <w:rsid w:val="0AA16323"/>
    <w:rsid w:val="0AA60BDA"/>
    <w:rsid w:val="0AD570E7"/>
    <w:rsid w:val="0B1A70F8"/>
    <w:rsid w:val="0B2400FD"/>
    <w:rsid w:val="0B9E4146"/>
    <w:rsid w:val="0D712B9D"/>
    <w:rsid w:val="0DE67505"/>
    <w:rsid w:val="0E461920"/>
    <w:rsid w:val="0EE3224A"/>
    <w:rsid w:val="107E249A"/>
    <w:rsid w:val="110872AB"/>
    <w:rsid w:val="114F166F"/>
    <w:rsid w:val="126610E3"/>
    <w:rsid w:val="133A75BD"/>
    <w:rsid w:val="13B92E7C"/>
    <w:rsid w:val="13E27E89"/>
    <w:rsid w:val="14251BF9"/>
    <w:rsid w:val="14CC14BB"/>
    <w:rsid w:val="151D233A"/>
    <w:rsid w:val="15363C99"/>
    <w:rsid w:val="156756D7"/>
    <w:rsid w:val="15800CCE"/>
    <w:rsid w:val="170A69F5"/>
    <w:rsid w:val="180C1F64"/>
    <w:rsid w:val="186051BB"/>
    <w:rsid w:val="188B3768"/>
    <w:rsid w:val="1995134D"/>
    <w:rsid w:val="1A481E86"/>
    <w:rsid w:val="1AEA665D"/>
    <w:rsid w:val="1B7722E2"/>
    <w:rsid w:val="1BE5422D"/>
    <w:rsid w:val="1C3A514B"/>
    <w:rsid w:val="1C5C78A0"/>
    <w:rsid w:val="1C8040A7"/>
    <w:rsid w:val="1CB830D5"/>
    <w:rsid w:val="1CD3602C"/>
    <w:rsid w:val="1D27620C"/>
    <w:rsid w:val="1D2E540B"/>
    <w:rsid w:val="1D9A2197"/>
    <w:rsid w:val="1DDB7ED6"/>
    <w:rsid w:val="1E7F1802"/>
    <w:rsid w:val="1F3A264A"/>
    <w:rsid w:val="1F9C0638"/>
    <w:rsid w:val="1F9D196D"/>
    <w:rsid w:val="1FCA0981"/>
    <w:rsid w:val="1FCC2C1E"/>
    <w:rsid w:val="2017016B"/>
    <w:rsid w:val="20470D1E"/>
    <w:rsid w:val="20C029F8"/>
    <w:rsid w:val="21D22F21"/>
    <w:rsid w:val="22BC3BBF"/>
    <w:rsid w:val="22DF25D4"/>
    <w:rsid w:val="22E12E8E"/>
    <w:rsid w:val="231B4477"/>
    <w:rsid w:val="2328233E"/>
    <w:rsid w:val="232B5CEE"/>
    <w:rsid w:val="2338782C"/>
    <w:rsid w:val="23865AB7"/>
    <w:rsid w:val="23B51413"/>
    <w:rsid w:val="23BD4C58"/>
    <w:rsid w:val="241C72F2"/>
    <w:rsid w:val="248017AA"/>
    <w:rsid w:val="24AE08F9"/>
    <w:rsid w:val="25C33B00"/>
    <w:rsid w:val="267A0647"/>
    <w:rsid w:val="27A27F03"/>
    <w:rsid w:val="27ED5A15"/>
    <w:rsid w:val="27EF18F3"/>
    <w:rsid w:val="29E90EAE"/>
    <w:rsid w:val="2A0F2A00"/>
    <w:rsid w:val="2B5731FF"/>
    <w:rsid w:val="2FEE26CD"/>
    <w:rsid w:val="3005550F"/>
    <w:rsid w:val="301300C5"/>
    <w:rsid w:val="305C1482"/>
    <w:rsid w:val="30826974"/>
    <w:rsid w:val="30D5792C"/>
    <w:rsid w:val="30FE78AE"/>
    <w:rsid w:val="314B0841"/>
    <w:rsid w:val="31B158A2"/>
    <w:rsid w:val="32FC1536"/>
    <w:rsid w:val="3323133F"/>
    <w:rsid w:val="3461174B"/>
    <w:rsid w:val="3470004E"/>
    <w:rsid w:val="35745EA8"/>
    <w:rsid w:val="35901E45"/>
    <w:rsid w:val="36127AEB"/>
    <w:rsid w:val="38644295"/>
    <w:rsid w:val="38651567"/>
    <w:rsid w:val="398A7500"/>
    <w:rsid w:val="3B0952D0"/>
    <w:rsid w:val="3BC306CC"/>
    <w:rsid w:val="3C104337"/>
    <w:rsid w:val="3C225B10"/>
    <w:rsid w:val="3D2A1233"/>
    <w:rsid w:val="3F9C6190"/>
    <w:rsid w:val="40B325EA"/>
    <w:rsid w:val="40CB2500"/>
    <w:rsid w:val="40D02520"/>
    <w:rsid w:val="439F5E86"/>
    <w:rsid w:val="444E5FBD"/>
    <w:rsid w:val="44632172"/>
    <w:rsid w:val="44632ED7"/>
    <w:rsid w:val="452D1AD1"/>
    <w:rsid w:val="466D7D82"/>
    <w:rsid w:val="46776D54"/>
    <w:rsid w:val="468B51C3"/>
    <w:rsid w:val="46A20881"/>
    <w:rsid w:val="46B74BFF"/>
    <w:rsid w:val="478A73DD"/>
    <w:rsid w:val="4801797E"/>
    <w:rsid w:val="48D848A8"/>
    <w:rsid w:val="49442E07"/>
    <w:rsid w:val="499E274B"/>
    <w:rsid w:val="49B157F8"/>
    <w:rsid w:val="4A563E1A"/>
    <w:rsid w:val="4BC77771"/>
    <w:rsid w:val="4BDF0EDF"/>
    <w:rsid w:val="4CA46352"/>
    <w:rsid w:val="4D5B0255"/>
    <w:rsid w:val="4DB35635"/>
    <w:rsid w:val="4E542756"/>
    <w:rsid w:val="4E6D1EE2"/>
    <w:rsid w:val="4FD22772"/>
    <w:rsid w:val="509600AA"/>
    <w:rsid w:val="50B7210F"/>
    <w:rsid w:val="51563832"/>
    <w:rsid w:val="51727B28"/>
    <w:rsid w:val="52684303"/>
    <w:rsid w:val="52DD4598"/>
    <w:rsid w:val="5307764B"/>
    <w:rsid w:val="54620CAA"/>
    <w:rsid w:val="54E96829"/>
    <w:rsid w:val="559D1B3B"/>
    <w:rsid w:val="55BB6B12"/>
    <w:rsid w:val="56532A01"/>
    <w:rsid w:val="57B6590F"/>
    <w:rsid w:val="580C7A54"/>
    <w:rsid w:val="59332568"/>
    <w:rsid w:val="5BA16789"/>
    <w:rsid w:val="5BCA1F36"/>
    <w:rsid w:val="5BFD5969"/>
    <w:rsid w:val="5C515CB1"/>
    <w:rsid w:val="5E406C67"/>
    <w:rsid w:val="613F231D"/>
    <w:rsid w:val="61987C84"/>
    <w:rsid w:val="622C434E"/>
    <w:rsid w:val="62494911"/>
    <w:rsid w:val="636015F3"/>
    <w:rsid w:val="63AE3749"/>
    <w:rsid w:val="63F668D4"/>
    <w:rsid w:val="640C4684"/>
    <w:rsid w:val="645A20AF"/>
    <w:rsid w:val="64A22139"/>
    <w:rsid w:val="64CC0CC6"/>
    <w:rsid w:val="64D16E64"/>
    <w:rsid w:val="64F45C27"/>
    <w:rsid w:val="66884F2D"/>
    <w:rsid w:val="6A2F6F4D"/>
    <w:rsid w:val="6A421F8B"/>
    <w:rsid w:val="6CC34DC0"/>
    <w:rsid w:val="6EA824F9"/>
    <w:rsid w:val="6ECA1319"/>
    <w:rsid w:val="6EE00F07"/>
    <w:rsid w:val="6F59087C"/>
    <w:rsid w:val="703725C3"/>
    <w:rsid w:val="71002BCA"/>
    <w:rsid w:val="711938F5"/>
    <w:rsid w:val="71862428"/>
    <w:rsid w:val="73F94E51"/>
    <w:rsid w:val="74A1483D"/>
    <w:rsid w:val="74AC744C"/>
    <w:rsid w:val="74E0753A"/>
    <w:rsid w:val="75D815FF"/>
    <w:rsid w:val="770A21C3"/>
    <w:rsid w:val="77230C60"/>
    <w:rsid w:val="776D33BD"/>
    <w:rsid w:val="77B017A9"/>
    <w:rsid w:val="77C82FD3"/>
    <w:rsid w:val="7830417A"/>
    <w:rsid w:val="783710E2"/>
    <w:rsid w:val="79DE661B"/>
    <w:rsid w:val="7A1470D4"/>
    <w:rsid w:val="7AC31021"/>
    <w:rsid w:val="7B0560C9"/>
    <w:rsid w:val="7B4A1819"/>
    <w:rsid w:val="7C562666"/>
    <w:rsid w:val="7CE030B0"/>
    <w:rsid w:val="7E2F204A"/>
    <w:rsid w:val="7E992C67"/>
    <w:rsid w:val="7F030512"/>
    <w:rsid w:val="7F572821"/>
    <w:rsid w:val="7F5B00DF"/>
    <w:rsid w:val="7F857335"/>
    <w:rsid w:val="7FD2175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annotation reference" w:semiHidden="0" w:qFormat="1"/>
    <w:lsdException w:name="List" w:semiHidden="0" w:uiPriority="0" w:unhideWhenUsed="0" w:qFormat="1"/>
    <w:lsdException w:name="Title" w:semiHidden="0" w:uiPriority="10" w:unhideWhenUsed="0" w:qFormat="1"/>
    <w:lsdException w:name="Default Paragraph Font" w:uiPriority="1" w:qFormat="1"/>
    <w:lsdException w:name="Body Text" w:semiHidden="0" w:uiPriority="0" w:unhideWhenUsed="0" w:qFormat="1"/>
    <w:lsdException w:name="Body Text Indent" w:semiHidden="0" w:uiPriority="0" w:qFormat="1"/>
    <w:lsdException w:name="Subtitle" w:semiHidden="0" w:uiPriority="11" w:unhideWhenUsed="0" w:qFormat="1"/>
    <w:lsdException w:name="Body Text First Indent 2" w:semiHidden="0" w:uiPriority="0" w:unhideWhenUsed="0" w:qFormat="1"/>
    <w:lsdException w:name="Hyperlink" w:semiHidden="0" w:unhideWhenUsed="0" w:qFormat="1"/>
    <w:lsdException w:name="Strong" w:semiHidden="0" w:uiPriority="22" w:unhideWhenUsed="0" w:qFormat="1"/>
    <w:lsdException w:name="Emphasis" w:semiHidden="0" w:uiPriority="20" w:unhideWhenUsed="0" w:qFormat="1"/>
    <w:lsdException w:name="Document Map" w:semiHidden="0" w:uiPriority="0" w:unhideWhenUsed="0" w:qFormat="1"/>
    <w:lsdException w:name="Plain Text" w:semiHidden="0" w:uiPriority="0" w:unhideWhenUsed="0" w:qFormat="1"/>
    <w:lsdException w:name="Normal Table" w:qFormat="1"/>
    <w:lsdException w:name="Balloon Text" w:semiHidden="0" w:uiPriority="0" w:unhideWhenUsed="0" w:qFormat="1"/>
    <w:lsdException w:name="Table Grid" w:semiHidden="0" w:uiPriority="3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uiPriority w:val="1"/>
    <w:qFormat/>
    <w:rsid w:val="000D61B1"/>
    <w:pPr>
      <w:widowControl w:val="0"/>
      <w:jc w:val="both"/>
    </w:pPr>
    <w:rPr>
      <w:rFonts w:ascii="宋体" w:hAnsi="宋体" w:cs="宋体"/>
      <w:kern w:val="2"/>
      <w:sz w:val="21"/>
      <w:szCs w:val="21"/>
    </w:rPr>
  </w:style>
  <w:style w:type="paragraph" w:styleId="2">
    <w:name w:val="heading 2"/>
    <w:basedOn w:val="a"/>
    <w:next w:val="a"/>
    <w:link w:val="2Char"/>
    <w:qFormat/>
    <w:rsid w:val="000D61B1"/>
    <w:pPr>
      <w:autoSpaceDE w:val="0"/>
      <w:autoSpaceDN w:val="0"/>
      <w:ind w:left="801" w:hanging="401"/>
      <w:jc w:val="left"/>
      <w:outlineLvl w:val="1"/>
    </w:pPr>
    <w:rPr>
      <w:rFonts w:ascii="Microsoft JhengHei" w:eastAsia="Microsoft JhengHei" w:hAnsi="Microsoft JhengHei" w:cs="Microsoft JhengHei"/>
      <w:b/>
      <w:bCs/>
      <w:kern w:val="0"/>
      <w:sz w:val="32"/>
      <w:szCs w:val="32"/>
      <w:lang w:val="zh-CN" w:bidi="zh-CN"/>
    </w:rPr>
  </w:style>
  <w:style w:type="paragraph" w:styleId="3">
    <w:name w:val="heading 3"/>
    <w:basedOn w:val="a"/>
    <w:next w:val="a"/>
    <w:link w:val="3Char"/>
    <w:qFormat/>
    <w:rsid w:val="000D61B1"/>
    <w:pPr>
      <w:autoSpaceDE w:val="0"/>
      <w:autoSpaceDN w:val="0"/>
      <w:ind w:left="1026" w:hanging="489"/>
      <w:jc w:val="left"/>
      <w:outlineLvl w:val="2"/>
    </w:pPr>
    <w:rPr>
      <w:kern w:val="0"/>
      <w:sz w:val="28"/>
      <w:szCs w:val="28"/>
      <w:lang w:val="zh-CN" w:bidi="zh-C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qFormat/>
    <w:rsid w:val="000D61B1"/>
    <w:pPr>
      <w:autoSpaceDE w:val="0"/>
      <w:autoSpaceDN w:val="0"/>
      <w:jc w:val="left"/>
    </w:pPr>
    <w:rPr>
      <w:kern w:val="0"/>
      <w:lang w:val="zh-CN" w:bidi="zh-CN"/>
    </w:rPr>
  </w:style>
  <w:style w:type="paragraph" w:styleId="a4">
    <w:name w:val="Normal Indent"/>
    <w:basedOn w:val="a"/>
    <w:next w:val="a0"/>
    <w:qFormat/>
    <w:rsid w:val="000D61B1"/>
    <w:pPr>
      <w:ind w:firstLine="420"/>
    </w:pPr>
    <w:rPr>
      <w:rFonts w:ascii="Times New Roman" w:hAnsi="Times New Roman" w:cs="Times New Roman" w:hint="eastAsia"/>
      <w:szCs w:val="20"/>
    </w:rPr>
  </w:style>
  <w:style w:type="paragraph" w:styleId="a5">
    <w:name w:val="Document Map"/>
    <w:basedOn w:val="a"/>
    <w:link w:val="Char0"/>
    <w:qFormat/>
    <w:rsid w:val="000D61B1"/>
    <w:rPr>
      <w:sz w:val="18"/>
      <w:szCs w:val="18"/>
    </w:rPr>
  </w:style>
  <w:style w:type="paragraph" w:styleId="a6">
    <w:name w:val="Body Text Indent"/>
    <w:basedOn w:val="a"/>
    <w:link w:val="Char1"/>
    <w:unhideWhenUsed/>
    <w:qFormat/>
    <w:rsid w:val="000D61B1"/>
    <w:pPr>
      <w:spacing w:after="120"/>
      <w:ind w:leftChars="200" w:left="420"/>
    </w:pPr>
  </w:style>
  <w:style w:type="paragraph" w:styleId="a7">
    <w:name w:val="Plain Text"/>
    <w:basedOn w:val="a"/>
    <w:link w:val="Char2"/>
    <w:qFormat/>
    <w:rsid w:val="000D61B1"/>
    <w:pPr>
      <w:autoSpaceDE w:val="0"/>
      <w:autoSpaceDN w:val="0"/>
    </w:pPr>
    <w:rPr>
      <w:rFonts w:hAnsi="Courier New" w:cs="Times New Roman"/>
      <w:lang w:val="zh-CN"/>
    </w:rPr>
  </w:style>
  <w:style w:type="paragraph" w:styleId="a8">
    <w:name w:val="Balloon Text"/>
    <w:basedOn w:val="a"/>
    <w:link w:val="Char3"/>
    <w:qFormat/>
    <w:rsid w:val="000D61B1"/>
    <w:rPr>
      <w:sz w:val="18"/>
      <w:szCs w:val="18"/>
    </w:rPr>
  </w:style>
  <w:style w:type="paragraph" w:styleId="a9">
    <w:name w:val="footer"/>
    <w:basedOn w:val="a"/>
    <w:link w:val="Char4"/>
    <w:uiPriority w:val="99"/>
    <w:unhideWhenUsed/>
    <w:qFormat/>
    <w:rsid w:val="000D61B1"/>
    <w:pPr>
      <w:tabs>
        <w:tab w:val="center" w:pos="4153"/>
        <w:tab w:val="right" w:pos="8306"/>
      </w:tabs>
      <w:snapToGrid w:val="0"/>
      <w:jc w:val="left"/>
    </w:pPr>
    <w:rPr>
      <w:sz w:val="18"/>
      <w:szCs w:val="18"/>
    </w:rPr>
  </w:style>
  <w:style w:type="paragraph" w:styleId="aa">
    <w:name w:val="header"/>
    <w:basedOn w:val="a"/>
    <w:link w:val="Char5"/>
    <w:unhideWhenUsed/>
    <w:qFormat/>
    <w:rsid w:val="000D61B1"/>
    <w:pPr>
      <w:pBdr>
        <w:bottom w:val="single" w:sz="6" w:space="1" w:color="auto"/>
      </w:pBdr>
      <w:tabs>
        <w:tab w:val="center" w:pos="4153"/>
        <w:tab w:val="right" w:pos="8306"/>
      </w:tabs>
      <w:snapToGrid w:val="0"/>
      <w:jc w:val="center"/>
    </w:pPr>
    <w:rPr>
      <w:sz w:val="18"/>
      <w:szCs w:val="18"/>
    </w:rPr>
  </w:style>
  <w:style w:type="paragraph" w:styleId="ab">
    <w:name w:val="List"/>
    <w:basedOn w:val="a"/>
    <w:qFormat/>
    <w:rsid w:val="000D61B1"/>
    <w:pPr>
      <w:ind w:left="200" w:hangingChars="200" w:hanging="200"/>
      <w:contextualSpacing/>
    </w:pPr>
  </w:style>
  <w:style w:type="paragraph" w:styleId="20">
    <w:name w:val="Body Text First Indent 2"/>
    <w:basedOn w:val="a6"/>
    <w:next w:val="ac"/>
    <w:link w:val="2Char0"/>
    <w:qFormat/>
    <w:rsid w:val="000D61B1"/>
    <w:pPr>
      <w:autoSpaceDE w:val="0"/>
      <w:autoSpaceDN w:val="0"/>
      <w:ind w:leftChars="0" w:left="0" w:firstLine="420"/>
    </w:pPr>
    <w:rPr>
      <w:rFonts w:ascii="Times New Roman" w:hAnsi="Times New Roman" w:cs="Times New Roman"/>
      <w:szCs w:val="24"/>
      <w:lang w:val="zh-CN" w:bidi="zh-CN"/>
    </w:rPr>
  </w:style>
  <w:style w:type="paragraph" w:customStyle="1" w:styleId="ac">
    <w:name w:val="表格文字"/>
    <w:basedOn w:val="ab"/>
    <w:next w:val="a"/>
    <w:qFormat/>
    <w:rsid w:val="000D61B1"/>
    <w:pPr>
      <w:ind w:firstLineChars="0" w:firstLine="0"/>
      <w:jc w:val="center"/>
    </w:pPr>
    <w:rPr>
      <w:szCs w:val="20"/>
    </w:rPr>
  </w:style>
  <w:style w:type="table" w:styleId="ad">
    <w:name w:val="Table Grid"/>
    <w:basedOn w:val="a2"/>
    <w:uiPriority w:val="39"/>
    <w:qFormat/>
    <w:rsid w:val="000D61B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uiPriority w:val="99"/>
    <w:qFormat/>
    <w:rsid w:val="000D61B1"/>
    <w:rPr>
      <w:color w:val="0000FF"/>
      <w:u w:val="single"/>
    </w:rPr>
  </w:style>
  <w:style w:type="character" w:styleId="af">
    <w:name w:val="annotation reference"/>
    <w:uiPriority w:val="99"/>
    <w:unhideWhenUsed/>
    <w:qFormat/>
    <w:rsid w:val="000D61B1"/>
    <w:rPr>
      <w:sz w:val="21"/>
      <w:szCs w:val="21"/>
    </w:rPr>
  </w:style>
  <w:style w:type="character" w:customStyle="1" w:styleId="Char5">
    <w:name w:val="页眉 Char"/>
    <w:basedOn w:val="a1"/>
    <w:link w:val="aa"/>
    <w:qFormat/>
    <w:rsid w:val="000D61B1"/>
    <w:rPr>
      <w:sz w:val="18"/>
      <w:szCs w:val="18"/>
    </w:rPr>
  </w:style>
  <w:style w:type="character" w:customStyle="1" w:styleId="Char4">
    <w:name w:val="页脚 Char"/>
    <w:basedOn w:val="a1"/>
    <w:link w:val="a9"/>
    <w:uiPriority w:val="99"/>
    <w:qFormat/>
    <w:rsid w:val="000D61B1"/>
    <w:rPr>
      <w:sz w:val="18"/>
      <w:szCs w:val="18"/>
    </w:rPr>
  </w:style>
  <w:style w:type="character" w:customStyle="1" w:styleId="2Char">
    <w:name w:val="标题 2 Char"/>
    <w:basedOn w:val="a1"/>
    <w:link w:val="2"/>
    <w:qFormat/>
    <w:rsid w:val="000D61B1"/>
    <w:rPr>
      <w:rFonts w:ascii="Microsoft JhengHei" w:eastAsia="Microsoft JhengHei" w:hAnsi="Microsoft JhengHei" w:cs="Microsoft JhengHei"/>
      <w:b/>
      <w:bCs/>
      <w:kern w:val="0"/>
      <w:sz w:val="32"/>
      <w:szCs w:val="32"/>
      <w:lang w:val="zh-CN" w:bidi="zh-CN"/>
    </w:rPr>
  </w:style>
  <w:style w:type="character" w:customStyle="1" w:styleId="3Char">
    <w:name w:val="标题 3 Char"/>
    <w:basedOn w:val="a1"/>
    <w:link w:val="3"/>
    <w:qFormat/>
    <w:rsid w:val="000D61B1"/>
    <w:rPr>
      <w:rFonts w:ascii="宋体" w:eastAsia="宋体" w:hAnsi="宋体" w:cs="宋体"/>
      <w:kern w:val="0"/>
      <w:sz w:val="28"/>
      <w:szCs w:val="28"/>
      <w:lang w:val="zh-CN" w:bidi="zh-CN"/>
    </w:rPr>
  </w:style>
  <w:style w:type="character" w:customStyle="1" w:styleId="Char1">
    <w:name w:val="正文文本缩进 Char"/>
    <w:basedOn w:val="a1"/>
    <w:link w:val="a6"/>
    <w:qFormat/>
    <w:rsid w:val="000D61B1"/>
    <w:rPr>
      <w:rFonts w:ascii="宋体" w:eastAsia="宋体" w:hAnsi="宋体" w:cs="宋体"/>
      <w:szCs w:val="21"/>
    </w:rPr>
  </w:style>
  <w:style w:type="character" w:customStyle="1" w:styleId="2Char0">
    <w:name w:val="正文首行缩进 2 Char"/>
    <w:basedOn w:val="Char1"/>
    <w:link w:val="20"/>
    <w:qFormat/>
    <w:rsid w:val="000D61B1"/>
    <w:rPr>
      <w:rFonts w:ascii="Times New Roman" w:eastAsia="宋体" w:hAnsi="Times New Roman" w:cs="Times New Roman"/>
      <w:szCs w:val="24"/>
      <w:lang w:val="zh-CN" w:bidi="zh-CN"/>
    </w:rPr>
  </w:style>
  <w:style w:type="character" w:customStyle="1" w:styleId="Char">
    <w:name w:val="正文文本 Char"/>
    <w:basedOn w:val="a1"/>
    <w:link w:val="a0"/>
    <w:qFormat/>
    <w:rsid w:val="000D61B1"/>
    <w:rPr>
      <w:rFonts w:ascii="宋体" w:eastAsia="宋体" w:hAnsi="宋体" w:cs="宋体"/>
      <w:kern w:val="0"/>
      <w:szCs w:val="21"/>
      <w:lang w:val="zh-CN" w:bidi="zh-CN"/>
    </w:rPr>
  </w:style>
  <w:style w:type="character" w:customStyle="1" w:styleId="Char0">
    <w:name w:val="文档结构图 Char"/>
    <w:basedOn w:val="a1"/>
    <w:link w:val="a5"/>
    <w:qFormat/>
    <w:rsid w:val="000D61B1"/>
    <w:rPr>
      <w:rFonts w:ascii="宋体" w:eastAsia="宋体" w:hAnsi="宋体" w:cs="宋体"/>
      <w:sz w:val="18"/>
      <w:szCs w:val="18"/>
    </w:rPr>
  </w:style>
  <w:style w:type="character" w:customStyle="1" w:styleId="Char2">
    <w:name w:val="纯文本 Char"/>
    <w:basedOn w:val="a1"/>
    <w:link w:val="a7"/>
    <w:qFormat/>
    <w:rsid w:val="000D61B1"/>
    <w:rPr>
      <w:rFonts w:ascii="宋体" w:eastAsia="宋体" w:hAnsi="Courier New" w:cs="Times New Roman"/>
      <w:szCs w:val="21"/>
      <w:lang w:val="zh-CN"/>
    </w:rPr>
  </w:style>
  <w:style w:type="character" w:customStyle="1" w:styleId="Char3">
    <w:name w:val="批注框文本 Char"/>
    <w:basedOn w:val="a1"/>
    <w:link w:val="a8"/>
    <w:qFormat/>
    <w:rsid w:val="000D61B1"/>
    <w:rPr>
      <w:rFonts w:ascii="宋体" w:eastAsia="宋体" w:hAnsi="宋体" w:cs="宋体"/>
      <w:sz w:val="18"/>
      <w:szCs w:val="18"/>
    </w:rPr>
  </w:style>
  <w:style w:type="paragraph" w:customStyle="1" w:styleId="8">
    <w:name w:val="样式8"/>
    <w:basedOn w:val="af0"/>
    <w:uiPriority w:val="1"/>
    <w:qFormat/>
    <w:rsid w:val="000D61B1"/>
  </w:style>
  <w:style w:type="paragraph" w:customStyle="1" w:styleId="af0">
    <w:name w:val="一级标题"/>
    <w:basedOn w:val="a"/>
    <w:qFormat/>
    <w:rsid w:val="000D61B1"/>
    <w:pPr>
      <w:adjustRightInd w:val="0"/>
      <w:snapToGrid w:val="0"/>
      <w:jc w:val="center"/>
      <w:outlineLvl w:val="0"/>
    </w:pPr>
    <w:rPr>
      <w:rFonts w:ascii="黑体" w:eastAsia="黑体"/>
      <w:b/>
      <w:sz w:val="28"/>
      <w:szCs w:val="28"/>
    </w:rPr>
  </w:style>
  <w:style w:type="paragraph" w:customStyle="1" w:styleId="21">
    <w:name w:val="正文文本2"/>
    <w:basedOn w:val="a"/>
    <w:qFormat/>
    <w:rsid w:val="000D61B1"/>
    <w:pPr>
      <w:autoSpaceDE w:val="0"/>
      <w:autoSpaceDN w:val="0"/>
      <w:jc w:val="left"/>
    </w:pPr>
    <w:rPr>
      <w:rFonts w:cs="Times New Roman"/>
      <w:kern w:val="0"/>
      <w:sz w:val="20"/>
      <w:lang w:val="zh-CN"/>
    </w:rPr>
  </w:style>
  <w:style w:type="paragraph" w:customStyle="1" w:styleId="TableParagraph">
    <w:name w:val="Table Paragraph"/>
    <w:basedOn w:val="a"/>
    <w:uiPriority w:val="1"/>
    <w:qFormat/>
    <w:rsid w:val="000D61B1"/>
    <w:pPr>
      <w:autoSpaceDE w:val="0"/>
      <w:autoSpaceDN w:val="0"/>
      <w:jc w:val="left"/>
    </w:pPr>
    <w:rPr>
      <w:kern w:val="0"/>
      <w:sz w:val="22"/>
      <w:szCs w:val="22"/>
      <w:lang w:val="zh-CN" w:bidi="zh-CN"/>
    </w:rPr>
  </w:style>
  <w:style w:type="paragraph" w:customStyle="1" w:styleId="1">
    <w:name w:val="列出段落1"/>
    <w:basedOn w:val="a"/>
    <w:qFormat/>
    <w:rsid w:val="000D61B1"/>
    <w:pPr>
      <w:autoSpaceDE w:val="0"/>
      <w:autoSpaceDN w:val="0"/>
      <w:ind w:left="240" w:firstLine="420"/>
      <w:jc w:val="left"/>
    </w:pPr>
    <w:rPr>
      <w:kern w:val="0"/>
      <w:sz w:val="22"/>
      <w:szCs w:val="22"/>
      <w:lang w:val="zh-CN" w:bidi="zh-CN"/>
    </w:rPr>
  </w:style>
  <w:style w:type="paragraph" w:customStyle="1" w:styleId="12">
    <w:name w:val="列出段落12"/>
    <w:basedOn w:val="a"/>
    <w:qFormat/>
    <w:rsid w:val="000D61B1"/>
    <w:pPr>
      <w:autoSpaceDE w:val="0"/>
      <w:autoSpaceDN w:val="0"/>
      <w:ind w:left="400" w:firstLine="420"/>
      <w:jc w:val="left"/>
    </w:pPr>
    <w:rPr>
      <w:kern w:val="0"/>
      <w:sz w:val="22"/>
      <w:szCs w:val="22"/>
      <w:lang w:val="zh-CN" w:bidi="zh-CN"/>
    </w:rPr>
  </w:style>
  <w:style w:type="paragraph" w:customStyle="1" w:styleId="1111">
    <w:name w:val="列出段落1111"/>
    <w:basedOn w:val="a"/>
    <w:qFormat/>
    <w:rsid w:val="000D61B1"/>
    <w:pPr>
      <w:autoSpaceDE w:val="0"/>
      <w:autoSpaceDN w:val="0"/>
      <w:ind w:firstLineChars="200" w:firstLine="420"/>
    </w:pPr>
    <w:rPr>
      <w:rFonts w:ascii="Calibri" w:hAnsi="Calibri" w:cs="Times New Roman"/>
      <w:sz w:val="22"/>
      <w:szCs w:val="20"/>
    </w:rPr>
  </w:style>
  <w:style w:type="paragraph" w:customStyle="1" w:styleId="30">
    <w:name w:val="正文文本3"/>
    <w:basedOn w:val="a"/>
    <w:qFormat/>
    <w:rsid w:val="000D61B1"/>
    <w:pPr>
      <w:autoSpaceDE w:val="0"/>
      <w:autoSpaceDN w:val="0"/>
      <w:jc w:val="left"/>
    </w:pPr>
    <w:rPr>
      <w:rFonts w:cs="Times New Roman"/>
      <w:kern w:val="0"/>
      <w:sz w:val="20"/>
      <w:lang w:val="zh-CN"/>
    </w:rPr>
  </w:style>
  <w:style w:type="character" w:customStyle="1" w:styleId="11Char1">
    <w:name w:val="标题 1.1 Char1"/>
    <w:qFormat/>
    <w:rsid w:val="000D61B1"/>
    <w:rPr>
      <w:rFonts w:ascii="Arial" w:eastAsia="黑体" w:hAnsi="Arial"/>
      <w:b/>
      <w:bCs/>
      <w:kern w:val="2"/>
      <w:sz w:val="32"/>
      <w:szCs w:val="32"/>
    </w:rPr>
  </w:style>
  <w:style w:type="paragraph" w:customStyle="1" w:styleId="bgg">
    <w:name w:val="bgg"/>
    <w:basedOn w:val="ParaCharCharCharChar"/>
    <w:qFormat/>
    <w:rsid w:val="000D61B1"/>
    <w:pPr>
      <w:snapToGrid w:val="0"/>
      <w:ind w:leftChars="25" w:left="52" w:rightChars="25" w:right="52"/>
      <w:jc w:val="center"/>
    </w:pPr>
    <w:rPr>
      <w:rFonts w:ascii="Times New Roman" w:hAnsi="Times New Roman"/>
      <w:sz w:val="18"/>
      <w:szCs w:val="18"/>
    </w:rPr>
  </w:style>
  <w:style w:type="paragraph" w:customStyle="1" w:styleId="ParaCharCharCharChar">
    <w:name w:val="默认段落字体 Para Char Char Char Char"/>
    <w:basedOn w:val="a"/>
    <w:qFormat/>
    <w:rsid w:val="000D61B1"/>
    <w:pPr>
      <w:autoSpaceDE w:val="0"/>
      <w:autoSpaceDN w:val="0"/>
    </w:pPr>
    <w:rPr>
      <w:rFonts w:cs="Times New Roman"/>
      <w:b/>
      <w:color w:val="000000"/>
      <w:sz w:val="24"/>
      <w:szCs w:val="24"/>
      <w:lang w:val="zh-CN"/>
    </w:rPr>
  </w:style>
  <w:style w:type="paragraph" w:customStyle="1" w:styleId="p0">
    <w:name w:val="p0"/>
    <w:basedOn w:val="a"/>
    <w:qFormat/>
    <w:rsid w:val="000D61B1"/>
    <w:pPr>
      <w:widowControl/>
      <w:autoSpaceDE w:val="0"/>
      <w:autoSpaceDN w:val="0"/>
    </w:pPr>
    <w:rPr>
      <w:rFonts w:ascii="Times New Roman" w:hAnsi="Times New Roman" w:cs="Times New Roman"/>
      <w:kern w:val="0"/>
    </w:rPr>
  </w:style>
  <w:style w:type="paragraph" w:customStyle="1" w:styleId="22">
    <w:name w:val="纯文本2"/>
    <w:basedOn w:val="a"/>
    <w:qFormat/>
    <w:rsid w:val="000D61B1"/>
    <w:pPr>
      <w:adjustRightInd w:val="0"/>
      <w:textAlignment w:val="baseline"/>
    </w:pPr>
    <w:rPr>
      <w:rFonts w:hAnsi="Courier New" w:cs="Times New Roman"/>
      <w:szCs w:val="20"/>
      <w:lang w:val="zh-CN"/>
    </w:rPr>
  </w:style>
  <w:style w:type="paragraph" w:customStyle="1" w:styleId="111">
    <w:name w:val="列出段落111"/>
    <w:basedOn w:val="a"/>
    <w:qFormat/>
    <w:rsid w:val="000D61B1"/>
    <w:pPr>
      <w:autoSpaceDE w:val="0"/>
      <w:autoSpaceDN w:val="0"/>
      <w:ind w:firstLineChars="200" w:firstLine="420"/>
    </w:pPr>
    <w:rPr>
      <w:rFonts w:ascii="Calibri" w:hAnsi="Calibri" w:cs="Times New Roman"/>
      <w:szCs w:val="20"/>
    </w:rPr>
  </w:style>
  <w:style w:type="paragraph" w:customStyle="1" w:styleId="7">
    <w:name w:val="列出段落7"/>
    <w:basedOn w:val="a"/>
    <w:qFormat/>
    <w:rsid w:val="000D61B1"/>
    <w:pPr>
      <w:ind w:left="400" w:firstLine="420"/>
    </w:pPr>
  </w:style>
  <w:style w:type="character" w:customStyle="1" w:styleId="font01">
    <w:name w:val="font01"/>
    <w:basedOn w:val="a1"/>
    <w:qFormat/>
    <w:rsid w:val="000D61B1"/>
    <w:rPr>
      <w:rFonts w:ascii="宋体" w:eastAsia="宋体" w:hAnsi="宋体" w:cs="宋体" w:hint="eastAsia"/>
      <w:b/>
      <w:color w:val="000000"/>
      <w:sz w:val="22"/>
      <w:szCs w:val="22"/>
      <w:u w:val="none"/>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rsid w:val="000D61B1"/>
    <w:pPr>
      <w:widowControl w:val="0"/>
      <w:jc w:val="both"/>
    </w:pPr>
    <w:rPr>
      <w:kern w:val="2"/>
      <w:sz w:val="21"/>
      <w:szCs w:val="24"/>
    </w:rPr>
  </w:style>
  <w:style w:type="paragraph" w:customStyle="1" w:styleId="p0New">
    <w:name w:val="p0 New"/>
    <w:basedOn w:val="NewNewNewNewNewNewNewNewNewNewNewNewNewNewNewNewNewNewNewNewNewNewNewNewNewNewNewNewNewNewNewNewNewNewNewNewNewNewNewNewNewNewNewNewNewNewNewNewNew"/>
    <w:qFormat/>
    <w:rsid w:val="000D61B1"/>
    <w:pPr>
      <w:widowControl/>
    </w:pPr>
    <w:rPr>
      <w:kern w:val="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1274</Words>
  <Characters>7262</Characters>
  <Application>Microsoft Office Word</Application>
  <DocSecurity>0</DocSecurity>
  <Lines>60</Lines>
  <Paragraphs>17</Paragraphs>
  <ScaleCrop>false</ScaleCrop>
  <Company/>
  <LinksUpToDate>false</LinksUpToDate>
  <CharactersWithSpaces>8519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cp:revision>
  <cp:lastPrinted>2023-10-31T06:28:00Z</cp:lastPrinted>
  <dcterms:created xsi:type="dcterms:W3CDTF">2023-11-27T07:36:00Z</dcterms:created>
  <dcterms:modified xsi:type="dcterms:W3CDTF">2023-11-27T07:36:00Z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2052-11.8.2.8276</vt:lpwstr>
  </property>
  <property fmtid="{D5CDD505-2E9C-101B-9397-08002B2CF9AE}" pid="3" name="ICV">
    <vt:lpwstr>DBF59F993E254B00BF8AECBA28D521EC_12</vt:lpwstr>
  </property>
</Properties>
</file>