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outlineLvl w:val="1"/>
        <w:rPr>
          <w:rFonts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附表2：专业资质业绩要求</w:t>
      </w:r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：</w:t>
      </w:r>
    </w:p>
    <w:tbl>
      <w:tblPr>
        <w:tblStyle w:val="6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948"/>
        <w:gridCol w:w="790"/>
        <w:gridCol w:w="2524"/>
        <w:gridCol w:w="898"/>
        <w:gridCol w:w="707"/>
        <w:gridCol w:w="1790"/>
        <w:gridCol w:w="561"/>
        <w:gridCol w:w="1921"/>
        <w:gridCol w:w="1159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分标名称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厂商要求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销售业绩要求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运行业绩要求（以运行业绩证明材料为依据）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生产许可证或检测合格证(入网许可证)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产品型式试验报告或检测报告或鉴定报告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3C认证证书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床、条桌、办公椅、办公桌、办公用柜、架、箱、会议桌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2020年1月1日至2022年12月31日所投同类产品累计销售业绩不少于2000万元。注：销售业绩必须提供对应的合同和发票复印件、发票查验结果截图。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提供国家认可第三方权威检验检测机构出具的检验检测报告；ISO14001环境管理体系认证；国家环保家具产品认证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002厨具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制造商/经销商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2020年1月1日至2022年12月31日所投同类产品累计销售业绩不少于100万元。注：销售业绩必须提供对应的合同和发票复印件、发票查验结果截图。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003登高、安全工具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验电器、接地线（棒）、绝缘垫、操作杆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制造商/经销商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2020年1月1日至2022年12月31日所投同类产品累计销售业绩不少于500万元。注：销售业绩必须提供对应的合同和发票复印件、发票查验结果截图。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提供国家认可第三方权威检验检测机构出具的检验检测报告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004辅助工器具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货架、梯子、扣环、仓储配套工具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制造商/经销商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2020年1月1日至2022年12月31日所投同类产品累计销售业绩不少于100万元。注：销售业绩必须提供对应的合同和发票复印件、发票查验结果截图。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005劳保用品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劳保手套、工作鞋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制造商/经销商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2020年1月1日至2022年12月31日所投同类产品累计销售业绩不少于200万元。注：销售业绩必须提供对应的合同和发票复印件、发票查验结果截图。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对于特种防护用品，需要提供具有特种劳动防护用品安全标识认证证书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006燃料化工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工业气体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制造商/经销商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2020年1月1日至2022年12月31日所投同类产品销售业绩不少于100万元。注：销售业绩必须提供对应的合同和发票复印件、发票查验结果截图。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提供国家认可第三方权威检验检测机构出具的检验检测报告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经销商需提供生产厂家授权书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  <w:r>
              <w:rPr>
                <w:rStyle w:val="9"/>
                <w:lang w:val="en-US" w:eastAsia="zh-CN" w:bidi="ar"/>
              </w:rPr>
              <w:t>望远镜、全站仪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望远镜、全站仪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制造商/经销商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2020年1月1日至2022年12月31日具有所投同类配件累计销售业绩不少于100万元。注：销售业绩必须提供对应的合同和发票复印件、发票查验结果截图。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提供国家认可第三方权威检验检测机构出具的检验检测报告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008绝缘子卡具（各档闭式）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绝缘子卡具（各档闭式）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制造商/经销商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2020年1月1日至2022年12月31日具有所投同类配件累计销售业绩不少于100万元。注：销售业绩必须提供对应的合同和发票复印件、发票查验结果截图。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提供国家认可第三方权威检验检测机构出具的检验检测报告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 w:val="0"/>
        <w:bidi w:val="0"/>
        <w:spacing w:after="0" w:line="240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注：1.经销商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无需提供原厂商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授权委托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书（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附表2：专业资质业绩要求中需要提供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原厂商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授权委托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书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的分标除外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）。</w:t>
      </w:r>
    </w:p>
    <w:p>
      <w:pPr>
        <w:widowControl w:val="0"/>
        <w:bidi w:val="0"/>
        <w:spacing w:after="0" w:line="240" w:lineRule="auto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产品型式试验报告、检验报告：A：对制造商应答的，报告中产品的制造商和应答人必须一致。B：对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经销商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应答的，报告中产品的制造商和授权人必须一致。</w:t>
      </w:r>
    </w:p>
    <w:p>
      <w:pPr>
        <w:widowControl w:val="0"/>
        <w:bidi w:val="0"/>
        <w:spacing w:after="0" w:line="240" w:lineRule="auto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3.业绩：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电商业绩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业绩时间以订单产生时间为准；非电商业绩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业绩时间以合同签订时间为准；</w:t>
      </w:r>
    </w:p>
    <w:p>
      <w:pPr>
        <w:widowControl w:val="0"/>
        <w:bidi w:val="0"/>
        <w:spacing w:after="0" w:line="240" w:lineRule="auto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4.如技术规范书中要求资质业绩条件与采购公告不一致，均以采购公告要求为准。</w:t>
      </w:r>
    </w:p>
    <w:p>
      <w:pPr>
        <w:rPr>
          <w:rFonts w:hint="eastAsia" w:ascii="黑体" w:eastAsia="黑体"/>
          <w:b/>
          <w:color w:val="auto"/>
          <w:sz w:val="24"/>
          <w:highlight w:val="none"/>
        </w:rPr>
        <w:sectPr>
          <w:pgSz w:w="16838" w:h="11905" w:orient="landscape"/>
          <w:pgMar w:top="1803" w:right="1440" w:bottom="1803" w:left="144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5D73508C"/>
    <w:rsid w:val="5D7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kern w:val="0"/>
      <w:sz w:val="22"/>
      <w:szCs w:val="22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2"/>
    <w:basedOn w:val="1"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2023-11-14T06:03:00Z</dcterms:created>
  <dc:creator>Administrator</dc:creator>
  <cp:lastModifiedBy>Administrator</cp:lastModifiedBy>
  <dcterms:modified xsi:type="dcterms:W3CDTF">2023-11-14T06:03:52Z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852BA24BE2394835B13CB15111B494B9_11</vt:lpwstr>
  </property>
</Properties>
</file>