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696"/>
        <w:gridCol w:w="745"/>
        <w:gridCol w:w="587"/>
        <w:gridCol w:w="3000"/>
        <w:gridCol w:w="2136"/>
        <w:gridCol w:w="1355"/>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026" w:hRule="atLeast"/>
        </w:trPr>
        <w:tc>
          <w:tcPr>
            <w:tcW w:w="696" w:type="dxa"/>
            <w:tcBorders>
              <w:right w:val="single" w:color="auto" w:sz="4" w:space="0"/>
            </w:tcBorders>
            <w:shd w:val="clear" w:color="000000" w:fill="FFFFFF"/>
            <w:noWrap w:val="0"/>
            <w:vAlign w:val="center"/>
          </w:tcPr>
          <w:p>
            <w:pPr>
              <w:jc w:val="center"/>
              <w:rPr>
                <w:rFonts w:hint="eastAsia" w:ascii="宋体" w:hAnsi="宋体" w:eastAsia="宋体" w:cs="宋体"/>
                <w:b/>
                <w:bCs/>
                <w:color w:val="000000"/>
                <w:kern w:val="0"/>
                <w:sz w:val="16"/>
                <w:szCs w:val="16"/>
                <w:highlight w:val="none"/>
                <w:lang w:val="en-US" w:eastAsia="zh-CN"/>
              </w:rPr>
            </w:pPr>
            <w:r>
              <w:rPr>
                <w:rFonts w:hint="eastAsia" w:ascii="宋体" w:hAnsi="宋体" w:eastAsia="宋体" w:cs="宋体"/>
                <w:b/>
                <w:bCs/>
                <w:color w:val="000000"/>
                <w:kern w:val="0"/>
                <w:sz w:val="16"/>
                <w:szCs w:val="16"/>
                <w:highlight w:val="none"/>
                <w:lang w:val="en-US" w:eastAsia="zh-CN"/>
              </w:rPr>
              <w:t>序号</w:t>
            </w:r>
          </w:p>
        </w:tc>
        <w:tc>
          <w:tcPr>
            <w:tcW w:w="745" w:type="dxa"/>
            <w:tcBorders>
              <w:left w:val="single" w:color="auto" w:sz="4" w:space="0"/>
              <w:right w:val="single" w:color="auto" w:sz="4" w:space="0"/>
            </w:tcBorders>
            <w:shd w:val="clear" w:color="000000" w:fill="FFFFFF"/>
            <w:noWrap w:val="0"/>
            <w:vAlign w:val="center"/>
          </w:tcPr>
          <w:p>
            <w:pPr>
              <w:jc w:val="center"/>
              <w:rPr>
                <w:rFonts w:hint="eastAsia" w:ascii="宋体" w:hAnsi="宋体" w:eastAsia="宋体" w:cs="宋体"/>
                <w:b/>
                <w:bCs/>
                <w:color w:val="000000"/>
                <w:kern w:val="0"/>
                <w:sz w:val="16"/>
                <w:szCs w:val="16"/>
                <w:highlight w:val="none"/>
                <w:lang w:val="en-US" w:eastAsia="zh-CN"/>
              </w:rPr>
            </w:pPr>
            <w:r>
              <w:rPr>
                <w:rFonts w:hint="eastAsia" w:ascii="宋体" w:hAnsi="宋体" w:eastAsia="宋体" w:cs="宋体"/>
                <w:b/>
                <w:bCs/>
                <w:color w:val="000000"/>
                <w:kern w:val="0"/>
                <w:sz w:val="16"/>
                <w:szCs w:val="16"/>
                <w:highlight w:val="none"/>
                <w:lang w:val="en-US" w:eastAsia="zh-CN"/>
              </w:rPr>
              <w:t>分标编号</w:t>
            </w:r>
          </w:p>
        </w:tc>
        <w:tc>
          <w:tcPr>
            <w:tcW w:w="587" w:type="dxa"/>
            <w:tcBorders>
              <w:left w:val="single" w:color="auto" w:sz="4" w:space="0"/>
              <w:right w:val="single" w:color="auto" w:sz="4" w:space="0"/>
            </w:tcBorders>
            <w:shd w:val="clear" w:color="000000" w:fill="FFFFFF"/>
            <w:noWrap w:val="0"/>
            <w:vAlign w:val="center"/>
          </w:tcPr>
          <w:p>
            <w:pPr>
              <w:jc w:val="center"/>
              <w:rPr>
                <w:rFonts w:hint="eastAsia" w:ascii="宋体" w:hAnsi="宋体" w:eastAsia="宋体" w:cs="宋体"/>
                <w:b/>
                <w:bCs/>
                <w:color w:val="000000"/>
                <w:kern w:val="0"/>
                <w:sz w:val="16"/>
                <w:szCs w:val="16"/>
                <w:highlight w:val="none"/>
                <w:lang w:val="en-US" w:eastAsia="zh-CN"/>
              </w:rPr>
            </w:pPr>
            <w:r>
              <w:rPr>
                <w:rFonts w:hint="eastAsia" w:ascii="宋体" w:hAnsi="宋体" w:eastAsia="宋体" w:cs="宋体"/>
                <w:b/>
                <w:bCs/>
                <w:color w:val="000000"/>
                <w:kern w:val="0"/>
                <w:sz w:val="16"/>
                <w:szCs w:val="16"/>
                <w:highlight w:val="none"/>
                <w:lang w:val="en-US" w:eastAsia="zh-CN"/>
              </w:rPr>
              <w:t>包号</w:t>
            </w:r>
          </w:p>
        </w:tc>
        <w:tc>
          <w:tcPr>
            <w:tcW w:w="3000" w:type="dxa"/>
            <w:tcBorders>
              <w:left w:val="single" w:color="auto" w:sz="4" w:space="0"/>
              <w:right w:val="single" w:color="auto" w:sz="4" w:space="0"/>
            </w:tcBorders>
            <w:shd w:val="clear" w:color="000000" w:fill="FFFFFF"/>
            <w:noWrap w:val="0"/>
            <w:vAlign w:val="center"/>
          </w:tcPr>
          <w:p>
            <w:pPr>
              <w:jc w:val="center"/>
              <w:rPr>
                <w:rFonts w:hint="eastAsia" w:ascii="宋体" w:hAnsi="宋体" w:eastAsia="宋体" w:cs="宋体"/>
                <w:b/>
                <w:bCs/>
                <w:color w:val="000000"/>
                <w:kern w:val="0"/>
                <w:sz w:val="16"/>
                <w:szCs w:val="16"/>
                <w:highlight w:val="none"/>
                <w:lang w:val="en-US" w:eastAsia="zh-CN"/>
              </w:rPr>
            </w:pPr>
            <w:r>
              <w:rPr>
                <w:rFonts w:hint="eastAsia" w:ascii="宋体" w:hAnsi="宋体" w:eastAsia="宋体" w:cs="宋体"/>
                <w:b/>
                <w:bCs/>
                <w:color w:val="000000"/>
                <w:kern w:val="0"/>
                <w:sz w:val="16"/>
                <w:szCs w:val="16"/>
                <w:highlight w:val="none"/>
                <w:lang w:val="en-US" w:eastAsia="zh-CN"/>
              </w:rPr>
              <w:t>包名称</w:t>
            </w:r>
          </w:p>
        </w:tc>
        <w:tc>
          <w:tcPr>
            <w:tcW w:w="2136" w:type="dxa"/>
            <w:tcBorders>
              <w:left w:val="single" w:color="auto" w:sz="4" w:space="0"/>
              <w:right w:val="single" w:color="auto" w:sz="4" w:space="0"/>
            </w:tcBorders>
            <w:shd w:val="clear" w:color="000000" w:fill="FFFFFF"/>
            <w:noWrap w:val="0"/>
            <w:vAlign w:val="center"/>
          </w:tcPr>
          <w:p>
            <w:pPr>
              <w:jc w:val="center"/>
              <w:rPr>
                <w:rFonts w:hint="eastAsia" w:ascii="宋体" w:hAnsi="宋体" w:eastAsia="宋体" w:cs="宋体"/>
                <w:b/>
                <w:bCs/>
                <w:color w:val="000000"/>
                <w:kern w:val="0"/>
                <w:sz w:val="16"/>
                <w:szCs w:val="16"/>
                <w:highlight w:val="none"/>
                <w:lang w:val="en-US" w:eastAsia="zh-CN"/>
              </w:rPr>
            </w:pPr>
            <w:r>
              <w:rPr>
                <w:rFonts w:hint="eastAsia" w:ascii="宋体" w:hAnsi="宋体" w:eastAsia="宋体" w:cs="宋体"/>
                <w:b/>
                <w:bCs/>
                <w:color w:val="000000"/>
                <w:kern w:val="0"/>
                <w:sz w:val="16"/>
                <w:szCs w:val="16"/>
                <w:highlight w:val="none"/>
                <w:lang w:val="en-US" w:eastAsia="zh-CN"/>
              </w:rPr>
              <w:t>推荐的成交候选人</w:t>
            </w:r>
          </w:p>
        </w:tc>
        <w:tc>
          <w:tcPr>
            <w:tcW w:w="1355" w:type="dxa"/>
            <w:tcBorders>
              <w:left w:val="single" w:color="auto" w:sz="4" w:space="0"/>
              <w:right w:val="single" w:color="auto" w:sz="4" w:space="0"/>
            </w:tcBorders>
            <w:shd w:val="clear" w:color="000000" w:fill="FFFFFF"/>
            <w:noWrap w:val="0"/>
            <w:vAlign w:val="center"/>
          </w:tcPr>
          <w:p>
            <w:pPr>
              <w:jc w:val="center"/>
              <w:rPr>
                <w:rFonts w:hint="eastAsia" w:ascii="宋体" w:hAnsi="宋体" w:eastAsia="宋体" w:cs="宋体"/>
                <w:b/>
                <w:bCs/>
                <w:color w:val="000000"/>
                <w:kern w:val="0"/>
                <w:sz w:val="16"/>
                <w:szCs w:val="16"/>
                <w:highlight w:val="none"/>
                <w:lang w:val="en-US" w:eastAsia="zh-CN"/>
              </w:rPr>
            </w:pPr>
            <w:r>
              <w:rPr>
                <w:rFonts w:hint="eastAsia" w:ascii="宋体" w:hAnsi="宋体" w:eastAsia="宋体" w:cs="宋体"/>
                <w:b/>
                <w:bCs/>
                <w:color w:val="000000"/>
                <w:kern w:val="0"/>
                <w:sz w:val="16"/>
                <w:szCs w:val="16"/>
                <w:highlight w:val="none"/>
                <w:lang w:val="en-US" w:eastAsia="zh-CN"/>
              </w:rPr>
              <w:t>成交价/市场价折扣比例（万元/%）</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001</w:t>
            </w:r>
          </w:p>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highlight w:val="none"/>
                <w:lang w:val="en-US" w:eastAsia="zh-CN"/>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电缆终端等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青海凯诺机电设备有限公司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6.836602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highlight w:val="none"/>
                <w:lang w:val="en-US" w:eastAsia="zh-CN"/>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电缆等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青海凯诺机电设备有限公司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12.857000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eastAsia"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highlight w:val="none"/>
                <w:lang w:val="en-US" w:eastAsia="zh-CN"/>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钢筋等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青海萤火智能电子工程有限责任公司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16.571209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cs="宋体"/>
                <w:color w:val="000000"/>
                <w:kern w:val="0"/>
                <w:sz w:val="16"/>
                <w:szCs w:val="16"/>
                <w:highlight w:val="none"/>
                <w:lang w:val="en-US" w:eastAsia="zh-CN"/>
              </w:rPr>
            </w:pPr>
            <w:r>
              <w:rPr>
                <w:rFonts w:hint="eastAsia" w:ascii="宋体" w:hAnsi="宋体" w:eastAsia="宋体" w:cs="宋体"/>
                <w:i w:val="0"/>
                <w:color w:val="000000"/>
                <w:kern w:val="0"/>
                <w:sz w:val="16"/>
                <w:szCs w:val="16"/>
                <w:u w:val="none"/>
                <w:lang w:val="en-US" w:eastAsia="zh-CN" w:bidi="ar"/>
              </w:rPr>
              <w:t>包4</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水泥制品</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青海湘顺水泥制品有限公司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7.660000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包5</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铁塔等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青岛繁昌电力设备厂有限公司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22.875703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包6</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铁附件</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青海凯诺机电设备有限公司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10.330250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7</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包7</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电缆</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8</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包8</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金具等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9</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002</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箱变</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青海长城电器成套设备有限公司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27.800000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10</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箱变等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青海凯诺机电设备有限公司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6.700800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11</w:t>
            </w:r>
          </w:p>
        </w:tc>
        <w:tc>
          <w:tcPr>
            <w:tcW w:w="745" w:type="dxa"/>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003</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青海瑞丰科技有限公司中型格尔木光伏电站调度数据网建设项目路由器设备采购项目</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青海荣泰电子科技有限公司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2.046000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12</w:t>
            </w:r>
          </w:p>
        </w:tc>
        <w:tc>
          <w:tcPr>
            <w:tcW w:w="745" w:type="dxa"/>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004</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青海瑞丰科技有限公司2023年空调系统维修材料采购项目</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兰州友创电讯工程有限公司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highlight w:val="none"/>
                <w:u w:val="none"/>
                <w:lang w:val="en-US" w:eastAsia="zh-CN" w:bidi="ar"/>
              </w:rPr>
              <w:t>98</w:t>
            </w:r>
            <w:r>
              <w:rPr>
                <w:rFonts w:hint="eastAsia" w:ascii="宋体" w:hAnsi="宋体" w:eastAsia="宋体" w:cs="宋体"/>
                <w:i w:val="0"/>
                <w:color w:val="000000"/>
                <w:kern w:val="0"/>
                <w:sz w:val="16"/>
                <w:szCs w:val="16"/>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13</w:t>
            </w:r>
          </w:p>
        </w:tc>
        <w:tc>
          <w:tcPr>
            <w:tcW w:w="745" w:type="dxa"/>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005</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九正公司电商化项目第三批交换系统配件采购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西安卓尔电气科技有限公司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3.560000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14</w:t>
            </w:r>
          </w:p>
        </w:tc>
        <w:tc>
          <w:tcPr>
            <w:tcW w:w="745" w:type="dxa"/>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006</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建筑装饰装修材料等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15</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007</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工器具等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16</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工器具等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浙江双鸟机械有限公司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19.840000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17</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工器具等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重庆嘉顿城市机械有限公司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13.968000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18</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包4</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工器具等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扬州电力机具厂有限公司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20.110000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19</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包5</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工器具等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常熟市电力机具有限公司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10.389333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20</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包6</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叉车</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西宁小松工程机械配件有限公司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8.550000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21</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008</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玻璃钢复合电缆支架等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22</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不锈钢桥架等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青海美博工贸有限公司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6.749500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23</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镀锌钢管、镀锌扁铁等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青海盛唐贸易有限公司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4.906600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24</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包4</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模板、木方</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海东市祥隆劳务服务有限公司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126.399600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25</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包5</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基础钢材</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海东市祥隆劳务服务有限公司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32.740400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26</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包6</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道牙石、砖</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海东市祥隆劳务服务有限公司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89.561780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27</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包7</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防火涂料、卷材等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海东市祥隆劳务服务有限公司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32.559112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28</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包8</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钢护筒等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青海小正电力设备有限公司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46.995200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29</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包9</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净砂</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海东市祥隆劳务服务有限公司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161.071200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30</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包10</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水泥</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海东市祥隆劳务服务有限公司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153.181800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31</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基础钢材</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海东市祥隆劳务服务有限公司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195.636028</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32</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009</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青海海北祁连10kV宝一路主线及分支改造工程等6个工程金具</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青海伟鸿电力物资有限公司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8.899000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33</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青海省海北阳光35kV变电站#2主变</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扩建工程</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山东中泰阳光电气科技有限公司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5.699946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34</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010</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青海海西战斗门330千伏变电站110千伏I、II期送出工程零星材料采购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西宁鸿浩旺电力器材有限公司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80.923820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35</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青海中能联合电力有限公司35kV供电工程零星材料采购 </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青海龙能电力器材有限公司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43.116252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36</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国网青海海西供电公司35kV金子海等4座变电站35kV所用变更换等2个项目零星材料采购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青海龙能电力器材有限公司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9.282391</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37</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011</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215线路公路养护修复工程（不冻泉至曲麻莱段病害处治）SG1标段工程场站临时用电工程项目物资</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青海友航电气设备有限公司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30.829350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38</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青海玉树称多县民政局电杆迁移项目物资采购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青海友航电气设备有限公司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10.201800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39</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青海玉树治多、囊谦、称多县税务局专变改造工程3项用户物资采购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青海渭水电力器材有限公司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49.500000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40</w:t>
            </w:r>
          </w:p>
        </w:tc>
        <w:tc>
          <w:tcPr>
            <w:tcW w:w="745" w:type="dxa"/>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012</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2023年度海东天润实业有限责任公司玉树分公司办公桌椅购置物资采购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青海迅霆电气成套设备有限公司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6.310000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41</w:t>
            </w:r>
          </w:p>
        </w:tc>
        <w:tc>
          <w:tcPr>
            <w:tcW w:w="745" w:type="dxa"/>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013</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青海玉树杂多县10kV杂一路等3条线路台区改造工程等8个项目补充物资采购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青海迅霆电气成套设备有限公司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21.870600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42</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014</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绿梁山-彩云（冷湖）II回330kV线路工程II标螺旋锚采购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西宁奇钢物贸有限公司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89.946390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43</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沙柳330千伏变电站扩建工程接地材料采购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青海煜创电力设备有限公司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5.320000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44</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青海海南云慧110kV输变电新建工程施工材料采购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河北豪能电气设备有限公司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61.194250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45</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包4</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绿梁山330kV变电站间隔扩建工程施工项目金具等施工材料采购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河北锡能电气设备制造有限公司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7.705400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46</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包5</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果洛-直却330kV线路工程II标、乌图（昆仑山）～柴达木750千伏线路工程III标钢丝绳、模具采购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47</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包6</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绿梁山-彩云（冷湖）II回330kV线路工程II标金具采购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西宁杰兆源电力机具有限公司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8.835500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48</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015</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大通县四号桥建设 用户电力线路迁改工程等2项工程铁附件类</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西宁爱知电机有限公司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2.595900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49</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西宁麻岭330kV变电站110kV间隔扩建工程五金类</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西宁鸿浩旺电力器材有限公司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36.146000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50</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西宁市城西区自然资源和林业局育苗基地10kV线路整治工程等4项工程钢管杆基础、附件类</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青海拓发物资有限公司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4.510855</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51</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包4</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南川工业园区红牙合（杰秀变）330kV变电站110kV侧丽豪二期线路工程金具类</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西宁爱知电机有限公司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79.598500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52</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016</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输电项目部施工工器具计划表</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西宁杰兆源电力机具有限公司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159.965000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53</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西宁电力实业有限公司工器具采购</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54</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017</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西宁市昆仑路快速化羚羊路人行过街工程红线范围内10kV线路迁改工程五金电器类</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青海优逸克电力设备有限公司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4.724450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55</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国网西宁供电公司小寨充电站升级改造工程</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56</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西宁麻岭330kV变电站110kV间隔扩建工程等3项工程金具类</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西宁爱知电机有限公司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4.695000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57</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包4</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国网青海西宁供电公司前营35kV变电站增容扩建工程(负荷转移）等6项工程五金材料类</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青海优逸克电力设备有限公司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11.878450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58</w:t>
            </w:r>
          </w:p>
        </w:tc>
        <w:tc>
          <w:tcPr>
            <w:tcW w:w="745" w:type="dxa"/>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018</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西电实业高电压试验车</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江苏依众汽车有限公司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93.021600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59</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019</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青海电研科技有限责任公司2023年第二批材料购置项目</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西宁兴洪商贸有限公司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40.511400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60</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青海电研科技有限责任公司青南换流站#2调相机C类检修材料、机具购置项目</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都江堰隆鑫商贸有限公司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60.884324</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61</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020</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马克唐至康杨公路电力线路改迁补偿协议马康公路K5-K19段10kV及0.4kV线路改迁工程金具、铁附件等                                                                      </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青海澜珊电力设备有限公司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46.981094</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62</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国网黄化供电公司配电自动化主站新建项目零星建筑材料等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青海华创信息技术有限公司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49.800000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63</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黄南州文体旅游广电局35kV屯隆线#46塔迁改工程金具、铁附件等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河北锡能电气设备制造有限公司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5.500500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64</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包4</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黄南州文体旅游广电局35kV屯隆线#46塔迁改工程、黄南州应急管理局35kV屯隆线#60-#62电力线路迁改基础钢筋</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65</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包5</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青海热贡文化保护与开发有限公司10kV电源接入工程等3个项目金具铁附件等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青海永庆成套设备有限公司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26.044840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66</w:t>
            </w:r>
          </w:p>
        </w:tc>
        <w:tc>
          <w:tcPr>
            <w:tcW w:w="745" w:type="dxa"/>
            <w:vMerge w:val="restart"/>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021</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青海热贡文化保护与开发有限公司10kV电源接入工程变压器</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青海睿博变压器制造有限责任公司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38.400000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67</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包2</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青海黄南察汗35千同期配出工程（开关站部分）装配式围墙</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68</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包3</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青海黄南察汗35千同期配出工程（开关站部分）综合配电室钢结构</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69</w:t>
            </w:r>
          </w:p>
        </w:tc>
        <w:tc>
          <w:tcPr>
            <w:tcW w:w="745" w:type="dxa"/>
            <w:vMerge w:val="continue"/>
            <w:tcBorders>
              <w:left w:val="single" w:color="auto" w:sz="4" w:space="0"/>
              <w:right w:val="single" w:color="auto" w:sz="4" w:space="0"/>
            </w:tcBorders>
            <w:shd w:val="clear" w:color="000000" w:fill="FFFFFF"/>
            <w:noWrap w:val="0"/>
            <w:vAlign w:val="center"/>
          </w:tcPr>
          <w:p>
            <w:pPr>
              <w:jc w:val="center"/>
              <w:rPr>
                <w:rFonts w:hint="eastAsia" w:ascii="宋体" w:hAnsi="宋体" w:cs="宋体"/>
                <w:color w:val="000000"/>
                <w:kern w:val="0"/>
                <w:sz w:val="16"/>
                <w:szCs w:val="16"/>
                <w:highlight w:val="none"/>
                <w:lang w:val="en-US" w:eastAsia="zh-CN"/>
              </w:rPr>
            </w:pP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包4</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青海黄南察汗35千同期配出工程（开关站部分）基础钢筋、避雷针</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流标</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87" w:hRule="atLeast"/>
        </w:trPr>
        <w:tc>
          <w:tcPr>
            <w:tcW w:w="696" w:type="dxa"/>
            <w:tcBorders>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70</w:t>
            </w:r>
          </w:p>
        </w:tc>
        <w:tc>
          <w:tcPr>
            <w:tcW w:w="745" w:type="dxa"/>
            <w:tcBorders>
              <w:left w:val="single" w:color="auto" w:sz="4" w:space="0"/>
              <w:right w:val="single" w:color="auto" w:sz="4" w:space="0"/>
            </w:tcBorders>
            <w:shd w:val="clear" w:color="000000" w:fill="FFFFFF"/>
            <w:noWrap w:val="0"/>
            <w:vAlign w:val="center"/>
          </w:tcPr>
          <w:p>
            <w:pPr>
              <w:jc w:val="center"/>
              <w:rPr>
                <w:rFonts w:hint="default" w:ascii="宋体" w:hAnsi="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022</w:t>
            </w:r>
          </w:p>
        </w:tc>
        <w:tc>
          <w:tcPr>
            <w:tcW w:w="587"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包1</w:t>
            </w:r>
          </w:p>
        </w:tc>
        <w:tc>
          <w:tcPr>
            <w:tcW w:w="3000"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中铁十局集团有限公司G0611同仁至赛尔龙段(甘青界）公路工程TSEPC-2标项目部电力迁改工程、G0611同仁至赛尔龙(青甘界)段公路TSEPC-1标永临结合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施工电源工程金具铁附件等</w:t>
            </w:r>
          </w:p>
        </w:tc>
        <w:tc>
          <w:tcPr>
            <w:tcW w:w="2136"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青海鹏盛电力器材有限公司</w:t>
            </w:r>
          </w:p>
        </w:tc>
        <w:tc>
          <w:tcPr>
            <w:tcW w:w="1355" w:type="dxa"/>
            <w:tcBorders>
              <w:left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24.022667</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67A20847"/>
    <w:rsid w:val="67A2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2023-08-21T09:15:00Z</dcterms:created>
  <dc:creator>Administrator</dc:creator>
  <cp:lastModifiedBy>Administrator</cp:lastModifiedBy>
  <dcterms:modified xsi:type="dcterms:W3CDTF">2023-08-21T09:15:26Z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C25AE3C8D0F24ADC93A3E478DD20C644_11</vt:lpwstr>
  </property>
</Properties>
</file>