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482" w:firstLineChars="200"/>
        <w:rPr>
          <w:rFonts w:hint="eastAsia"/>
          <w:b/>
          <w:bCs/>
          <w:sz w:val="24"/>
          <w:szCs w:val="32"/>
        </w:rPr>
      </w:pPr>
      <w:bookmarkStart w:id="2" w:name="_GoBack"/>
      <w:bookmarkEnd w:id="2"/>
      <w:r>
        <w:rPr>
          <w:rFonts w:hint="eastAsia"/>
          <w:b/>
          <w:bCs/>
          <w:sz w:val="24"/>
          <w:szCs w:val="32"/>
        </w:rPr>
        <w:t>附</w:t>
      </w:r>
      <w:r>
        <w:rPr>
          <w:rFonts w:hint="eastAsia"/>
          <w:b/>
          <w:bCs/>
          <w:sz w:val="24"/>
          <w:szCs w:val="32"/>
          <w:lang w:val="en-US" w:eastAsia="zh-CN"/>
        </w:rPr>
        <w:t>表</w:t>
      </w:r>
      <w:r>
        <w:rPr>
          <w:rFonts w:hint="eastAsia"/>
          <w:b/>
          <w:bCs/>
          <w:sz w:val="24"/>
          <w:szCs w:val="32"/>
        </w:rPr>
        <w:t>3：专业资质业绩要求</w:t>
      </w:r>
    </w:p>
    <w:tbl>
      <w:tblPr>
        <w:tblStyle w:val="1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3"/>
        <w:gridCol w:w="2234"/>
        <w:gridCol w:w="627"/>
        <w:gridCol w:w="2564"/>
        <w:gridCol w:w="735"/>
        <w:gridCol w:w="707"/>
        <w:gridCol w:w="1790"/>
        <w:gridCol w:w="982"/>
        <w:gridCol w:w="1677"/>
        <w:gridCol w:w="982"/>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分标名称</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采购内容</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厂商要求</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销售业绩要求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运行业绩要求（以运行业绩证明材料为依据）</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生产许可证或检测合格证(入网许可证)</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产品型式试验报告或检测报告或鉴定报告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3C认证证书</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生产厂房</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样品</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001手持机PDA</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手持机(PDA)</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002办公家具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主控桌、办公屏风、会议桌、办公桌、办公椅、办公用柜、架、箱、条桌、沙发、床垫、茶几、发言台、床</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2020年1月1日至2022年12月31日累计销售业绩不少于2000万元。注：销售业绩必须提供对应的合同和发票复印件、发票查验结果截图。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1.ISO14001环境管理体系认证；2.国家环保家具产品认证。</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2020年至2022年投标人获得市级或市级以上家具产品质量监督检验中心出具的原材料检验报告须包括：中密度纤维板、大宝油漆（面漆）、胡桃木木皮、实木、防火板、饰面板、头层牛皮、韩皮、万向轮、多层实木板；提供2020年至2022年投标人获得市级或市级以上家具产品质量监督检验中心出具的成品检验报告，产品包括实木办公桌、办公屏风、网络办公椅、钢制文件柜、实木床、会议桌、牛皮沙发、班椅、实木茶几。</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提供1300mm×2600mm×760mm,木质会议桌1张</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003劳保用品</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防雨工作服、棉大衣、棉裤、夏季标志工作服、春秋标志工作服、冬季标志工作服、帽子、水壶、耳塞、围腰、绑腿、防潮垫、作业工作服、防护面罩、睡袋、护膝、马夹、润肤霜、垫肩、劳保手套</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对于特种防护用品，需要提供具有特种劳动防护用品安全标识认证证书</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以小类描述分类，同类商品仅提供任意规格的1个样品</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r>
              <w:rPr>
                <w:rFonts w:hint="eastAsia" w:ascii="宋体" w:hAnsi="宋体" w:eastAsia="宋体" w:cs="宋体"/>
                <w:i w:val="0"/>
                <w:color w:val="000000"/>
                <w:kern w:val="0"/>
                <w:sz w:val="20"/>
                <w:szCs w:val="20"/>
                <w:u w:val="none"/>
                <w:lang w:val="en-US" w:eastAsia="zh-CN" w:bidi="ar"/>
              </w:rPr>
              <w:t>工作鞋</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工作鞋</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提供国家认可第三方权威检验检测机构出具的有效的投标人所投产品的检测报告（检测项目依据GB21148-2007及GB12011-2009要求，包括但不限于鞋帮厚度、结构、鞋帮耐撕裂性、鞋帮拉伸性能、外底撕裂强度、外底耐磨性、外底耐折性、鞋帮和鞋底结合强度、电绝缘性能），检测结果须满足技术规范书中标*号的关键技术参数要求（如有需要）；</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以小类描述分类，同类商品仅提供任意码的1个样品</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w:t>
            </w:r>
            <w:r>
              <w:rPr>
                <w:rFonts w:hint="eastAsia" w:ascii="宋体" w:hAnsi="宋体" w:eastAsia="宋体" w:cs="宋体"/>
                <w:i w:val="0"/>
                <w:color w:val="000000"/>
                <w:kern w:val="0"/>
                <w:sz w:val="20"/>
                <w:szCs w:val="20"/>
                <w:u w:val="none"/>
                <w:lang w:val="en-US" w:eastAsia="zh-CN" w:bidi="ar"/>
              </w:rPr>
              <w:t>营业厅标志工作服</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夏季标志工作服、春秋标志工作服、冬季标志工作服</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提供国家认可第三方权威检验检测机构出具的有效的投标人所投产品面料检测报告（检测项目包含但不限于：纤维含量、纱支、密度、甲醛、PH值、面料色牢度、断裂强力)，检测结果须满足技术规范书中标*号的关键技术参数要求（如有需要）；</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以小类描述分类，同类商品仅提供1个均码即可</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w:t>
            </w:r>
            <w:r>
              <w:rPr>
                <w:rFonts w:hint="eastAsia" w:ascii="宋体" w:hAnsi="宋体" w:eastAsia="宋体" w:cs="宋体"/>
                <w:i w:val="0"/>
                <w:color w:val="000000"/>
                <w:kern w:val="0"/>
                <w:sz w:val="20"/>
                <w:szCs w:val="20"/>
                <w:u w:val="none"/>
                <w:lang w:val="en-US" w:eastAsia="zh-CN" w:bidi="ar"/>
              </w:rPr>
              <w:t>低压电器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充电电池、低压开关、低压熔断器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2020年1月1日至2022年12月31日所招产品累计销售业绩不少于500万元。注：销售业绩必须提供对应的合同和发票复印件、发票查验结果截图。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提供所投产品中插头插座至少一种型号的CCC中国国家强制性产品认证证书</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007航空障碍灯</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航空障碍灯</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提供国家认可第三方权威检验检测机构出具的检验检测报告;所投产品中灭火器、呼吸器、消防水带等每类至少一种型号的检测报告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提供投标人/应答人所投产品中火灾报警产品、灭火器、避难逃生产品的CCC中国国家强制性产品认证证书</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008电子标签</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RFID电子标签</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r>
              <w:rPr>
                <w:rFonts w:hint="eastAsia" w:ascii="宋体" w:hAnsi="宋体" w:eastAsia="宋体" w:cs="宋体"/>
                <w:i w:val="0"/>
                <w:color w:val="000000"/>
                <w:kern w:val="0"/>
                <w:sz w:val="20"/>
                <w:szCs w:val="20"/>
                <w:u w:val="none"/>
                <w:lang w:val="en-US" w:eastAsia="zh-CN" w:bidi="ar"/>
              </w:rPr>
              <w:t>消防器材</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沙袋、呼吸器、消防破拆工具、灭火器、水带接口、消防水枪、消防桶、消防水带、水带箱、风力灭火机、消防沙箱、消防斧、救生缓降器、消防钩、消防栓、消防柜、灭火器箱、消防铲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2020年1月1日至2022年12月31日销售业绩不少于1000万元。注：销售业绩必须提供对应的合同和发票复印件、发票查验结果截图。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010辅助设备设施</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工业泵、防火门、拉线保护套、井盖、吸水膨胀袋、扩音器、防鼠设备、小型发电机、救援底座、救援顶杆、管道疏通机、路障、飞行器配件、厨具</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011水电暖材料</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复合材料管、塑料布、薄膜、水嘴、花洒软管、门窗五金、分水器、锁具、卫浴用五金、冲洗阀、混水阀、水箱、三角阀、水表、花洒、洁具及附件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2020年1月1日至2022年12月31日具有所投同类产品累计销售业绩不少于100万元。注：销售业绩必须提供对应的合同和发票复印件、发票查验结果截图。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012管件</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弯头、软管、活接头、三通、法兰、直通、管卡、对丝、管帽、堵头、管道补偿器、补芯、大小头</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2020年1月1日至2022年12月31日累计销售业绩不少于1000万元。注：销售业绩必须提供对应的合同和发票复印件、发票查验结果截图。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提供国家认可第三方权威检验检测机构出具的检验检测报告，至少包括复合材料管,PP-R；复合材料管,PVC；复合材料管,PE。</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013机械五金</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铜排、铁丝、轴承、螺母、普通螺栓、U形螺栓、铆钉、花兰螺栓、膨胀螺栓、销、铁钉、钢钉、液压元件、线扣、螺钉、钢丝绳、等边角钢、螺杆、垫圈、密封件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014登高安全工具-不带电作业</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保安接地线、升降平台、红布幔、安全帽、安全带、安全绳、仿真人、登杆器具、速差自控器、防毒面具、移动式遮栏、立式围栏、安全工具柜、绝缘手套护套、接地线（棒）、防穿刺鞋、安全自锁器、警示带、SF6防护服、安全带挂杆、交通警示灯、安全防暴用品、登山背包、射绳枪、帐篷、救生圈、救生衣、安全工具箱、便携式有害气体测试仪、防坠落装置、登山杖、铁塔防坠落导轨装置、防坠器、除湿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2020年1月1日至2022年12月31日操作杆销售业绩不少于400万元；验电器销售业绩不少于300万元；接地线及个人保安线销售业绩不少于300万元；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操作杆运行业绩不少于5000个；验电器运行业绩不少于3000根；接地线及个人保安线运行业绩不少于2000只(以运行业绩证明材料为依据)：</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1.提供国家认可第三方权威检验检测机构出具的有效的投标人/应答人所投产品中脚扣、安全带的型式试验报告。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015登高安全工具-带电作业</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杆、绝缘手套、防静电手套、绝缘绳、绝缘绳套、防电弧服、验电器、屏蔽手套、多用接头杆、钩头杆、绝缘扎线剪、万向绝缘扳手(齿轮全旋绝缘扳手)、组合绝缘杆、可调吊线杆、引流线、绝缘夹钳、绝缘夹、伸缩式绝缘杆、绝缘护罩、绝缘测零杆、绝缘罩、携带型短路接地线、导电鞋、屏蔽服全套、屏蔽袜、绝缘服、工业护目镜、分流线、带电显示器、绝缘胶布、绝缘鞋、提升器、水冲洗工具、计量低压新型作业防护手套、引流线夹、绝缘吊线杆、绝缘袋、带电作业绝缘管材、绝缘剪(剪线杆)、绝缘子卡具（各档闭式）、消弧器、绝缘蜈蚣梯、单卡头(单接头)、绝缘帽</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2020年1月1日至2022年12月31日配网不停电作业或配电带电作业相关产品累计销售业绩须不少于500万元。注：销售业绩必须提供对应的合同和发票复印件、发票查验结果截图。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提供国家认可第三方权威检验检测机构出具的有效的投标人/应答人所投产品中操作杆、绝缘垫、验电器等每类每个电压等级至少一种型号的检验报告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016辅助工器具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角磨机用钹型砂轮、布、抛光轮、锯条、焊锡丝、电动液压搬运车、绳、扣环、扩张器、铲、托平架、三脚架、扩张剪切器、电缆输送机、货架、拉马、葫芦、电缆滑轮、卡线器、紧线器、提线器、绝缘滑车、卸扣、手推车、手动液压搬运车、手动液压叉车、砂纸（布）、注射器、周转箱、抱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017标识牌</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2020年1月1日至2022年12月31日标识牌销售业绩不少于800万元（标识牌安装业绩不计入销售业绩）。注：销售业绩必须提供对应的合同和发票复印件。</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提供国家认可第三方权威检验检测机构出具的有效的投标人/应答人所投产品中PVC、铝合金、不锈钢、纸等各类材质标识牌每类至少一种型号的检验报告。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r>
              <w:rPr>
                <w:rFonts w:hint="eastAsia" w:ascii="宋体" w:hAnsi="宋体" w:eastAsia="宋体" w:cs="宋体"/>
                <w:i w:val="0"/>
                <w:color w:val="000000"/>
                <w:kern w:val="0"/>
                <w:sz w:val="20"/>
                <w:szCs w:val="20"/>
                <w:u w:val="none"/>
                <w:lang w:val="en-US" w:eastAsia="zh-CN" w:bidi="ar"/>
              </w:rPr>
              <w:t>电器工具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电钻、电源盘、钳、剪、螺丝刀、成套扳手、电动扳手、锤、锯、刀类、电烙铁、扳手、真空补油装置、组合工具、液压钳、吹风机、电链锯、电镐、电缆切刀、液压打孔机、机械压接钳、锉、螺帽破除器、电缆剥除器、冲孔机、电缆主绝缘打磨机、斧</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w:t>
            </w:r>
            <w:r>
              <w:rPr>
                <w:rFonts w:hint="eastAsia" w:ascii="宋体" w:hAnsi="宋体" w:eastAsia="宋体" w:cs="宋体"/>
                <w:i w:val="0"/>
                <w:color w:val="000000"/>
                <w:kern w:val="0"/>
                <w:sz w:val="20"/>
                <w:szCs w:val="20"/>
                <w:u w:val="none"/>
                <w:lang w:val="en-US" w:eastAsia="zh-CN" w:bidi="ar"/>
              </w:rPr>
              <w:t>化工</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绝缘涂料、工业气体、防火堵料、防火涂料、油漆、清洗剂、涂料、干燥剂、降阻剂、净化剂、绝缘油、粘合剂</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经销商需提供生产厂</w:t>
            </w:r>
            <w:r>
              <w:rPr>
                <w:rFonts w:hint="eastAsia" w:ascii="Times New Roman" w:hAnsi="Times New Roman" w:cs="Times New Roman"/>
                <w:color w:val="auto"/>
                <w:highlight w:val="none"/>
                <w:lang w:val="en-US" w:eastAsia="zh-CN"/>
              </w:rPr>
              <w:t>专属承诺书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w:t>
            </w:r>
            <w:r>
              <w:rPr>
                <w:rFonts w:hint="eastAsia" w:ascii="宋体" w:hAnsi="宋体" w:eastAsia="宋体" w:cs="宋体"/>
                <w:i w:val="0"/>
                <w:color w:val="000000"/>
                <w:kern w:val="0"/>
                <w:sz w:val="20"/>
                <w:szCs w:val="20"/>
                <w:u w:val="none"/>
                <w:lang w:val="en-US" w:eastAsia="zh-CN" w:bidi="ar"/>
              </w:rPr>
              <w:t>通信设备配件</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同步时钟设备配件、交换系统配件、通信配线设备配件、光纤通信设备配件、图像采集配件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2020年1月1日至2022年12月31日具有所投同类配件累计销售业绩不少于100万元。注：销售业绩必须提供对应的合同和发票复印件、发票查验结果截图。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021信息设备配件</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工业级交换机、服务器配件、网络设备配件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2020年1月1日至2022年12月31日具有所投同类配件累计销售业绩不少于100万元。注：销售业绩必须提供对应的合同和发票复印件、发票查验结果截图。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022飞行器配件</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线路巡检仪 台、飞行器配件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2020年1月1日至2022年12月31日具有所投同类配件累计销售业绩不少于100万元。注：销售业绩必须提供对应的合同和发票复印件、发票查验结果截图。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023大地测量测距仪器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测距仪、测高仪、望远镜、全站仪、高度游标卡尺、测距杆、塔尺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2020年1月1日至2022年12月31日具有所投同类产品销售业绩不少于50万元。注：销售业绩必须提供对应的合同和发票复印件、发票查验结果截图。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6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024电能计量仪器仪表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电流表、直流绝缘监测装置校验仪、综合自动化系统校验仪、直流试验电源、在线监测装置检验装置、识别仪、电流表检定装置、合并单元测试仪、标准电阻表、便携式故障录波器、接地电阻测试仪检验装置、交流采样测试仪、61850数字化分析仪、开关测试器、兆欧表标准校验装置、万用表、直流故障测试仪、馈线自动化测试仪、微型断路器特性测试仪、继电保护测试仪校验装置、漏电保护器测试仪</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025电气仪器仪表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断路器模拟装置、变电站监控信息自动验收仪、相位伏安表、变送器、CT伏安特性测试仪、密度计、电压表、工频验电信号发生器、蓄电池活化仪、继电保护测试仪、气体继电器校验仪</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026高压试验仪器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电流发生器、绝缘电阻表、接地电阻表、工频升压试验装置、电容电流测试仪、接地导通仪、核相器、回路电阻测试仪、线路参数测试仪、电容电感测试仪、电力变压器消磁机、X射线数字成像系统、避雷器放电计数器测试仪</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027仪器仪表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硬度仪、广口瓶、变压器油凝固点试验测试仪、闪点仪、混凝土钢筋检测仪、盐密测试仪、超纯水器、探伤仪、烘箱、气体分析仪、全天空成像仪、合金分析仪、烧杯、夜视镜</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w:t>
            </w:r>
            <w:r>
              <w:rPr>
                <w:rFonts w:hint="eastAsia" w:ascii="宋体" w:hAnsi="宋体" w:eastAsia="宋体" w:cs="宋体"/>
                <w:i w:val="0"/>
                <w:color w:val="000000"/>
                <w:kern w:val="0"/>
                <w:sz w:val="20"/>
                <w:szCs w:val="20"/>
                <w:u w:val="none"/>
                <w:lang w:val="en-US" w:eastAsia="zh-CN" w:bidi="ar"/>
              </w:rPr>
              <w:t>型式试验设备</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机械性能试验设备、绝缘性能试验设备、电气性能试验设备、镀层试验设备、无人机巡检系统试验系统、用电检查综合测试仪</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2020年1月1日至2022年12月31日具有所投同类产品销售业绩不少于50万元。注：销售业绩必须提供对应的合同和发票复印件、发票查验结果截图。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029其他仪器仪表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时域反射测试仪、光功率计、光纤切割刀、压力表、网络分析仪、规约转换器、2M测试仪、远动规约分析仪、光万用表、光源、光纤熔接机、红光源、数据分析仪、测温仪、热工信号多功能校验仪、高压试验仪器配件、光学仪器配件、风速仪、计数器、示波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030双创-</w:t>
            </w:r>
            <w:r>
              <w:rPr>
                <w:rFonts w:hint="eastAsia" w:ascii="宋体" w:hAnsi="宋体" w:eastAsia="宋体" w:cs="宋体"/>
                <w:i w:val="0"/>
                <w:color w:val="000000"/>
                <w:kern w:val="0"/>
                <w:sz w:val="20"/>
                <w:szCs w:val="20"/>
                <w:u w:val="none"/>
                <w:lang w:val="en-US" w:eastAsia="zh-CN" w:bidi="ar"/>
              </w:rPr>
              <w:t>无人机巡检系统试验系统</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无人机巡检系统试验系统</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2020年1月1日至2022年12月31日具有所投同类产品销售业绩不少于50万元。注：销售业绩必须提供对应的合同和发票复印件、发票查验结果截图。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bl>
    <w:p>
      <w:pPr>
        <w:bidi w:val="0"/>
        <w:jc w:val="left"/>
        <w:rPr>
          <w:rFonts w:hint="eastAsia" w:ascii="Times New Roman" w:hAnsi="Times New Roman" w:cs="Times New Roman"/>
          <w:lang w:eastAsia="zh-CN"/>
        </w:rPr>
      </w:pPr>
      <w:r>
        <w:rPr>
          <w:rFonts w:hint="eastAsia" w:ascii="Times New Roman" w:hAnsi="Times New Roman" w:cs="Times New Roman"/>
          <w:lang w:val="en-US" w:eastAsia="zh-CN"/>
        </w:rPr>
        <w:t>注：1.经销商</w:t>
      </w:r>
      <w:r>
        <w:rPr>
          <w:rFonts w:hint="eastAsia" w:ascii="Times New Roman" w:hAnsi="Times New Roman" w:cs="Times New Roman"/>
          <w:lang w:eastAsia="zh-CN"/>
        </w:rPr>
        <w:t>无需提供原厂商专属承诺书（</w:t>
      </w:r>
      <w:r>
        <w:rPr>
          <w:rFonts w:hint="eastAsia" w:ascii="Times New Roman" w:hAnsi="Times New Roman" w:cs="Times New Roman"/>
          <w:lang w:val="en-US" w:eastAsia="zh-CN"/>
        </w:rPr>
        <w:t>附表3：专业资质业绩要求中需要提供生产商专属承诺书的分标除外</w:t>
      </w:r>
      <w:r>
        <w:rPr>
          <w:rFonts w:hint="eastAsia" w:ascii="Times New Roman" w:hAnsi="Times New Roman" w:cs="Times New Roman"/>
          <w:lang w:eastAsia="zh-CN"/>
        </w:rPr>
        <w:t>）。</w:t>
      </w:r>
    </w:p>
    <w:p>
      <w:pPr>
        <w:bidi w:val="0"/>
        <w:ind w:firstLine="420" w:firstLineChars="200"/>
        <w:jc w:val="left"/>
        <w:rPr>
          <w:rFonts w:hint="eastAsia" w:ascii="Times New Roman" w:hAnsi="Times New Roman" w:cs="Times New Roman"/>
          <w:lang w:eastAsia="zh-CN"/>
        </w:rPr>
      </w:pPr>
      <w:r>
        <w:rPr>
          <w:rFonts w:hint="eastAsia" w:ascii="Times New Roman" w:hAnsi="Times New Roman" w:cs="Times New Roman"/>
          <w:lang w:val="en-US" w:eastAsia="zh-CN"/>
        </w:rPr>
        <w:t>2.</w:t>
      </w:r>
      <w:r>
        <w:rPr>
          <w:rFonts w:hint="eastAsia" w:ascii="Times New Roman" w:hAnsi="Times New Roman" w:cs="Times New Roman"/>
          <w:lang w:eastAsia="zh-CN"/>
        </w:rPr>
        <w:t>产品型式试验报告、检验报告：A：对制造商应答的，报告中产品的制造商和应答人必须一致。B：对</w:t>
      </w:r>
      <w:r>
        <w:rPr>
          <w:rFonts w:hint="eastAsia" w:ascii="Times New Roman" w:hAnsi="Times New Roman" w:cs="Times New Roman"/>
          <w:lang w:val="en-US" w:eastAsia="zh-CN"/>
        </w:rPr>
        <w:t>经销商</w:t>
      </w:r>
      <w:r>
        <w:rPr>
          <w:rFonts w:hint="eastAsia" w:ascii="Times New Roman" w:hAnsi="Times New Roman" w:cs="Times New Roman"/>
          <w:lang w:eastAsia="zh-CN"/>
        </w:rPr>
        <w:t>应答的，报告中产品的制造商和授权人必须一致。</w:t>
      </w:r>
    </w:p>
    <w:p>
      <w:pPr>
        <w:bidi w:val="0"/>
        <w:ind w:firstLine="420" w:firstLineChars="200"/>
        <w:jc w:val="left"/>
        <w:rPr>
          <w:rFonts w:hint="eastAsia" w:ascii="Times New Roman" w:hAnsi="Times New Roman" w:cs="Times New Roman"/>
          <w:lang w:eastAsia="zh-CN"/>
        </w:rPr>
      </w:pPr>
      <w:r>
        <w:rPr>
          <w:rFonts w:hint="eastAsia" w:ascii="Times New Roman" w:hAnsi="Times New Roman" w:cs="Times New Roman"/>
          <w:lang w:val="en-US" w:eastAsia="zh-CN"/>
        </w:rPr>
        <w:t>3.业绩：</w:t>
      </w:r>
      <w:r>
        <w:rPr>
          <w:rFonts w:hint="eastAsia" w:ascii="Times New Roman" w:hAnsi="Times New Roman" w:cs="Times New Roman"/>
          <w:lang w:eastAsia="zh-CN"/>
        </w:rPr>
        <w:t>电商业绩</w:t>
      </w:r>
      <w:r>
        <w:rPr>
          <w:rFonts w:hint="eastAsia" w:ascii="Times New Roman" w:hAnsi="Times New Roman" w:cs="Times New Roman"/>
          <w:lang w:val="en-US" w:eastAsia="zh-CN"/>
        </w:rPr>
        <w:t>的</w:t>
      </w:r>
      <w:r>
        <w:rPr>
          <w:rFonts w:hint="eastAsia" w:ascii="Times New Roman" w:hAnsi="Times New Roman" w:cs="Times New Roman"/>
          <w:lang w:eastAsia="zh-CN"/>
        </w:rPr>
        <w:t>业绩时间以订单产生时间为准；非电商业绩</w:t>
      </w:r>
      <w:r>
        <w:rPr>
          <w:rFonts w:hint="eastAsia" w:ascii="Times New Roman" w:hAnsi="Times New Roman" w:cs="Times New Roman"/>
          <w:lang w:val="en-US" w:eastAsia="zh-CN"/>
        </w:rPr>
        <w:t>的</w:t>
      </w:r>
      <w:r>
        <w:rPr>
          <w:rFonts w:hint="eastAsia" w:ascii="Times New Roman" w:hAnsi="Times New Roman" w:cs="Times New Roman"/>
          <w:lang w:eastAsia="zh-CN"/>
        </w:rPr>
        <w:t>业绩时间以合同签订时间为准；</w:t>
      </w:r>
    </w:p>
    <w:p>
      <w:pPr>
        <w:bidi w:val="0"/>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4.如技术规范书中要求资质业绩条件与采购公告不一致，均以采购公告要求为准。</w:t>
      </w:r>
    </w:p>
    <w:p>
      <w:pPr>
        <w:bidi w:val="0"/>
        <w:ind w:firstLine="420" w:firstLineChars="200"/>
        <w:jc w:val="left"/>
        <w:rPr>
          <w:rFonts w:hint="default"/>
          <w:lang w:val="en-US" w:eastAsia="zh-CN"/>
        </w:rPr>
      </w:pPr>
      <w:r>
        <w:rPr>
          <w:rFonts w:hint="eastAsia" w:ascii="Times New Roman" w:hAnsi="Times New Roman" w:cs="Times New Roman"/>
          <w:lang w:val="en-US" w:eastAsia="zh-CN"/>
        </w:rPr>
        <w:t>5.填报附件6：报价单格式时必须写明品牌型号，无品牌的商品写明生产商名称。</w:t>
      </w:r>
    </w:p>
    <w:p>
      <w:pPr>
        <w:pStyle w:val="2"/>
        <w:rPr>
          <w:rFonts w:hint="eastAsia"/>
        </w:rPr>
      </w:pPr>
    </w:p>
    <w:p>
      <w:pPr>
        <w:pStyle w:val="3"/>
        <w:rPr>
          <w:rFonts w:hint="eastAsia" w:eastAsia="宋体"/>
          <w:lang w:val="en-US" w:eastAsia="zh-CN"/>
        </w:rPr>
        <w:sectPr>
          <w:footerReference r:id="rId3" w:type="default"/>
          <w:pgSz w:w="16838" w:h="11905" w:orient="landscape"/>
          <w:pgMar w:top="1803" w:right="1440" w:bottom="1803" w:left="1440"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spacing w:line="240" w:lineRule="auto"/>
        <w:jc w:val="left"/>
        <w:textAlignment w:val="auto"/>
        <w:outlineLvl w:val="0"/>
        <w:rPr>
          <w:rFonts w:hint="eastAsia" w:ascii="黑体" w:eastAsia="黑体"/>
          <w:b/>
          <w:color w:val="auto"/>
          <w:sz w:val="24"/>
          <w:highlight w:val="none"/>
        </w:rPr>
      </w:pPr>
      <w:bookmarkStart w:id="0" w:name="_Toc5466"/>
      <w:bookmarkStart w:id="1" w:name="_Toc9242"/>
      <w:r>
        <w:rPr>
          <w:rFonts w:hint="eastAsia" w:ascii="黑体" w:eastAsia="黑体"/>
          <w:b/>
          <w:color w:val="auto"/>
          <w:sz w:val="24"/>
          <w:highlight w:val="none"/>
          <w:lang w:val="en-US" w:eastAsia="zh-CN"/>
        </w:rPr>
        <w:t>附表5：</w:t>
      </w:r>
      <w:r>
        <w:rPr>
          <w:rFonts w:hint="eastAsia" w:ascii="黑体" w:eastAsia="黑体"/>
          <w:b/>
          <w:color w:val="auto"/>
          <w:sz w:val="24"/>
          <w:highlight w:val="none"/>
        </w:rPr>
        <w:t>招标人、招标代理机构及投标人关于招标代理服务费的三方约定</w:t>
      </w:r>
      <w:bookmarkEnd w:id="0"/>
    </w:p>
    <w:p>
      <w:pPr>
        <w:autoSpaceDE w:val="0"/>
        <w:autoSpaceDN w:val="0"/>
        <w:adjustRightInd w:val="0"/>
        <w:snapToGrid w:val="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招标人、招标代理机构与投标人三方约定</w:t>
      </w:r>
    </w:p>
    <w:p>
      <w:pPr>
        <w:bidi w:val="0"/>
        <w:jc w:val="center"/>
        <w:rPr>
          <w:lang w:eastAsia="zh-CN"/>
        </w:rPr>
      </w:pPr>
      <w:r>
        <w:rPr>
          <w:rFonts w:hint="eastAsia"/>
        </w:rPr>
        <w:t>▲要求为由</w:t>
      </w:r>
      <w:r>
        <w:rPr>
          <w:rFonts w:hint="eastAsia"/>
          <w:lang w:eastAsia="zh-CN"/>
        </w:rPr>
        <w:t>法定代表人或其委托代理人</w:t>
      </w:r>
      <w:r>
        <w:rPr>
          <w:rFonts w:hint="eastAsia"/>
        </w:rPr>
        <w:t>签字</w:t>
      </w:r>
      <w:r>
        <w:rPr>
          <w:rFonts w:hint="eastAsia"/>
          <w:lang w:eastAsia="zh-CN"/>
        </w:rPr>
        <w:t>、</w:t>
      </w:r>
      <w:r>
        <w:rPr>
          <w:rFonts w:hint="eastAsia"/>
        </w:rPr>
        <w:t>加盖单位公章后，</w:t>
      </w:r>
      <w:r>
        <w:rPr>
          <w:rFonts w:hint="eastAsia"/>
          <w:lang w:val="en-US" w:eastAsia="zh-CN"/>
        </w:rPr>
        <w:t>扫描</w:t>
      </w:r>
      <w:r>
        <w:rPr>
          <w:rFonts w:hint="eastAsia"/>
        </w:rPr>
        <w:t>附在商务投标文件中。</w:t>
      </w:r>
    </w:p>
    <w:tbl>
      <w:tblPr>
        <w:tblStyle w:val="15"/>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2" w:hRule="atLeast"/>
          <w:jc w:val="center"/>
        </w:trPr>
        <w:tc>
          <w:tcPr>
            <w:tcW w:w="8269" w:type="dxa"/>
          </w:tcPr>
          <w:p>
            <w:pPr>
              <w:pStyle w:val="33"/>
              <w:spacing w:line="360" w:lineRule="auto"/>
              <w:jc w:val="left"/>
              <w:rPr>
                <w:rFonts w:ascii="宋体" w:hAnsi="宋体"/>
                <w:b/>
                <w:bCs/>
                <w:sz w:val="28"/>
                <w:szCs w:val="36"/>
              </w:rPr>
            </w:pPr>
          </w:p>
          <w:p>
            <w:pPr>
              <w:pStyle w:val="33"/>
              <w:spacing w:line="360" w:lineRule="auto"/>
              <w:jc w:val="left"/>
              <w:rPr>
                <w:rFonts w:ascii="宋体" w:hAnsi="宋体"/>
                <w:b/>
                <w:sz w:val="20"/>
                <w:szCs w:val="20"/>
              </w:rPr>
            </w:pPr>
            <w:r>
              <w:rPr>
                <w:rFonts w:hint="eastAsia" w:ascii="宋体" w:hAnsi="宋体"/>
                <w:b/>
                <w:bCs/>
                <w:sz w:val="20"/>
                <w:szCs w:val="20"/>
              </w:rPr>
              <w:t>招标人、招标代理机构与投标人三方约定</w:t>
            </w:r>
          </w:p>
          <w:p>
            <w:pPr>
              <w:pStyle w:val="33"/>
              <w:jc w:val="left"/>
              <w:rPr>
                <w:rFonts w:ascii="宋体" w:hAnsi="宋体"/>
                <w:sz w:val="20"/>
                <w:szCs w:val="20"/>
              </w:rPr>
            </w:pPr>
          </w:p>
          <w:p>
            <w:pPr>
              <w:pStyle w:val="33"/>
              <w:jc w:val="left"/>
              <w:rPr>
                <w:rFonts w:ascii="宋体" w:hAnsi="宋体"/>
                <w:sz w:val="20"/>
                <w:szCs w:val="20"/>
              </w:rPr>
            </w:pPr>
          </w:p>
          <w:p>
            <w:pPr>
              <w:pStyle w:val="33"/>
              <w:jc w:val="left"/>
              <w:rPr>
                <w:rFonts w:ascii="宋体" w:hAnsi="宋体"/>
                <w:sz w:val="20"/>
                <w:szCs w:val="20"/>
              </w:rPr>
            </w:pPr>
          </w:p>
          <w:p>
            <w:pPr>
              <w:pStyle w:val="34"/>
              <w:spacing w:line="360" w:lineRule="auto"/>
              <w:ind w:firstLine="400" w:firstLineChars="200"/>
              <w:jc w:val="left"/>
              <w:rPr>
                <w:rFonts w:ascii="宋体" w:hAnsi="宋体"/>
                <w:sz w:val="20"/>
                <w:szCs w:val="20"/>
              </w:rPr>
            </w:pPr>
            <w:r>
              <w:rPr>
                <w:rFonts w:hint="eastAsia" w:ascii="宋体" w:hAnsi="宋体"/>
                <w:sz w:val="20"/>
                <w:szCs w:val="20"/>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pPr>
              <w:pStyle w:val="34"/>
              <w:spacing w:line="360" w:lineRule="auto"/>
              <w:jc w:val="left"/>
              <w:rPr>
                <w:rFonts w:ascii="宋体" w:hAnsi="宋体"/>
                <w:kern w:val="2"/>
                <w:sz w:val="20"/>
                <w:szCs w:val="20"/>
              </w:rPr>
            </w:pPr>
            <w:r>
              <w:rPr>
                <w:rFonts w:hint="eastAsia" w:ascii="宋体" w:hAnsi="宋体"/>
                <w:sz w:val="20"/>
                <w:szCs w:val="20"/>
              </w:rPr>
              <w:t>法定代表人或其委托代理人签字</w:t>
            </w:r>
            <w:r>
              <w:rPr>
                <w:rFonts w:hint="eastAsia" w:ascii="宋体" w:hAnsi="宋体"/>
                <w:kern w:val="2"/>
                <w:sz w:val="20"/>
                <w:szCs w:val="20"/>
              </w:rPr>
              <w:t>：</w:t>
            </w:r>
          </w:p>
          <w:p>
            <w:pPr>
              <w:pStyle w:val="34"/>
              <w:spacing w:line="360" w:lineRule="auto"/>
              <w:jc w:val="left"/>
              <w:rPr>
                <w:rFonts w:ascii="宋体" w:hAnsi="宋体"/>
                <w:kern w:val="2"/>
                <w:sz w:val="20"/>
                <w:szCs w:val="20"/>
              </w:rPr>
            </w:pPr>
          </w:p>
          <w:p>
            <w:pPr>
              <w:pStyle w:val="34"/>
              <w:spacing w:line="360" w:lineRule="auto"/>
              <w:jc w:val="left"/>
              <w:rPr>
                <w:rFonts w:ascii="宋体" w:hAnsi="宋体"/>
                <w:kern w:val="2"/>
                <w:sz w:val="20"/>
                <w:szCs w:val="20"/>
              </w:rPr>
            </w:pPr>
          </w:p>
          <w:p>
            <w:pPr>
              <w:pStyle w:val="34"/>
              <w:spacing w:line="360" w:lineRule="auto"/>
              <w:jc w:val="left"/>
              <w:rPr>
                <w:rFonts w:ascii="宋体" w:hAnsi="宋体"/>
                <w:kern w:val="2"/>
                <w:sz w:val="20"/>
                <w:szCs w:val="20"/>
              </w:rPr>
            </w:pPr>
            <w:r>
              <w:rPr>
                <w:rFonts w:hint="eastAsia" w:ascii="宋体" w:hAnsi="宋体"/>
                <w:kern w:val="2"/>
                <w:sz w:val="20"/>
                <w:szCs w:val="20"/>
              </w:rPr>
              <w:t xml:space="preserve">                            投标人（公章）：</w:t>
            </w:r>
          </w:p>
          <w:p>
            <w:pPr>
              <w:pStyle w:val="33"/>
              <w:ind w:firstLine="4600" w:firstLineChars="2300"/>
              <w:jc w:val="left"/>
              <w:rPr>
                <w:rFonts w:ascii="宋体" w:hAnsi="宋体"/>
                <w:b/>
                <w:szCs w:val="28"/>
              </w:rPr>
            </w:pPr>
            <w:r>
              <w:rPr>
                <w:rFonts w:hint="eastAsia" w:ascii="宋体" w:hAnsi="宋体"/>
                <w:sz w:val="20"/>
                <w:szCs w:val="20"/>
              </w:rPr>
              <w:t>年   月   日</w:t>
            </w:r>
          </w:p>
        </w:tc>
      </w:tr>
    </w:tbl>
    <w:p>
      <w:pPr>
        <w:keepNext w:val="0"/>
        <w:keepLines w:val="0"/>
        <w:pageBreakBefore w:val="0"/>
        <w:widowControl w:val="0"/>
        <w:kinsoku/>
        <w:wordWrap/>
        <w:overflowPunct/>
        <w:topLinePunct w:val="0"/>
        <w:autoSpaceDE/>
        <w:autoSpaceDN/>
        <w:bidi w:val="0"/>
        <w:spacing w:line="380" w:lineRule="atLeast"/>
        <w:ind w:firstLine="422" w:firstLineChars="200"/>
        <w:textAlignment w:val="auto"/>
        <w:outlineLvl w:val="1"/>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b/>
          <w:bCs/>
          <w:color w:val="auto"/>
          <w:highlight w:val="none"/>
          <w:lang w:val="en-US" w:eastAsia="zh-CN"/>
        </w:rPr>
      </w:pPr>
    </w:p>
    <w:p>
      <w:pPr>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b/>
          <w:bCs/>
          <w:color w:val="auto"/>
          <w:highlight w:val="none"/>
          <w:lang w:val="en-US" w:eastAsia="zh-CN"/>
        </w:rPr>
      </w:pPr>
    </w:p>
    <w:p>
      <w:pPr>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b/>
          <w:bCs/>
          <w:color w:val="auto"/>
          <w:highlight w:val="none"/>
          <w:lang w:val="en-US" w:eastAsia="zh-CN"/>
        </w:rPr>
      </w:pPr>
    </w:p>
    <w:p>
      <w:pPr>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spacing w:line="380" w:lineRule="atLeast"/>
        <w:ind w:firstLine="422" w:firstLineChars="200"/>
        <w:textAlignment w:val="auto"/>
        <w:outlineLvl w:val="1"/>
        <w:rPr>
          <w:rFonts w:hint="eastAsia"/>
          <w:b/>
          <w:bCs/>
          <w:color w:val="auto"/>
          <w:highlight w:val="none"/>
          <w:lang w:val="en-US" w:eastAsia="zh-CN"/>
        </w:rPr>
      </w:pPr>
      <w:r>
        <w:rPr>
          <w:rFonts w:hint="eastAsia"/>
          <w:b/>
          <w:bCs/>
          <w:color w:val="auto"/>
          <w:highlight w:val="none"/>
          <w:lang w:val="en-US" w:eastAsia="zh-CN"/>
        </w:rPr>
        <w:t>附件：合规约定（业务关联方）</w:t>
      </w:r>
      <w:bookmarkEnd w:id="1"/>
    </w:p>
    <w:p>
      <w:pPr>
        <w:keepNext w:val="0"/>
        <w:keepLines w:val="0"/>
        <w:pageBreakBefore w:val="0"/>
        <w:widowControl w:val="0"/>
        <w:kinsoku/>
        <w:wordWrap/>
        <w:overflowPunct/>
        <w:topLinePunct w:val="0"/>
        <w:autoSpaceDE/>
        <w:autoSpaceDN/>
        <w:bidi w:val="0"/>
        <w:spacing w:line="380" w:lineRule="atLeast"/>
        <w:ind w:firstLine="562" w:firstLineChars="200"/>
        <w:jc w:val="center"/>
        <w:textAlignment w:val="auto"/>
        <w:outlineLvl w:val="1"/>
        <w:rPr>
          <w:rFonts w:hint="eastAsia"/>
          <w:b/>
          <w:bCs/>
          <w:color w:val="auto"/>
          <w:sz w:val="28"/>
          <w:szCs w:val="36"/>
          <w:highlight w:val="none"/>
          <w:lang w:eastAsia="zh-CN"/>
        </w:rPr>
      </w:pPr>
      <w:r>
        <w:rPr>
          <w:rFonts w:hint="eastAsia"/>
          <w:b/>
          <w:bCs/>
          <w:color w:val="auto"/>
          <w:sz w:val="28"/>
          <w:szCs w:val="36"/>
          <w:highlight w:val="none"/>
        </w:rPr>
        <w:t>合规</w:t>
      </w:r>
      <w:r>
        <w:rPr>
          <w:rFonts w:hint="eastAsia"/>
          <w:b/>
          <w:bCs/>
          <w:color w:val="auto"/>
          <w:sz w:val="28"/>
          <w:szCs w:val="36"/>
          <w:highlight w:val="none"/>
          <w:lang w:eastAsia="zh-CN"/>
        </w:rPr>
        <w:t>约定</w:t>
      </w:r>
    </w:p>
    <w:p>
      <w:pPr>
        <w:keepNext w:val="0"/>
        <w:keepLines w:val="0"/>
        <w:pageBreakBefore w:val="0"/>
        <w:widowControl w:val="0"/>
        <w:kinsoku/>
        <w:wordWrap/>
        <w:overflowPunct/>
        <w:topLinePunct w:val="0"/>
        <w:autoSpaceDE/>
        <w:autoSpaceDN/>
        <w:bidi w:val="0"/>
        <w:spacing w:line="380" w:lineRule="atLeast"/>
        <w:ind w:firstLine="422" w:firstLineChars="200"/>
        <w:textAlignment w:val="auto"/>
        <w:outlineLvl w:val="1"/>
        <w:rPr>
          <w:rFonts w:hint="eastAsia"/>
          <w:b/>
          <w:bCs/>
          <w:color w:val="auto"/>
          <w:highlight w:val="none"/>
          <w:lang w:val="en-US" w:eastAsia="zh-CN"/>
        </w:rPr>
      </w:pPr>
      <w:r>
        <w:rPr>
          <w:rFonts w:hint="eastAsia"/>
          <w:b/>
          <w:bCs/>
          <w:color w:val="auto"/>
          <w:highlight w:val="none"/>
          <w:lang w:val="en-US" w:eastAsia="zh-CN"/>
        </w:rPr>
        <w:t>（业务关联方）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rPr>
        <w:t>为保障</w:t>
      </w:r>
      <w:r>
        <w:rPr>
          <w:rFonts w:hint="eastAsia"/>
          <w:color w:val="auto"/>
          <w:highlight w:val="none"/>
          <w:lang w:eastAsia="zh-CN"/>
        </w:rPr>
        <w:t>合同</w:t>
      </w:r>
      <w:r>
        <w:rPr>
          <w:rFonts w:hint="eastAsia"/>
          <w:color w:val="auto"/>
          <w:highlight w:val="none"/>
        </w:rPr>
        <w:t>双方依法诚信合规开展</w:t>
      </w:r>
      <w:r>
        <w:rPr>
          <w:rFonts w:hint="eastAsia"/>
          <w:color w:val="auto"/>
          <w:highlight w:val="none"/>
          <w:lang w:eastAsia="zh-CN"/>
        </w:rPr>
        <w:t>业务</w:t>
      </w:r>
      <w:r>
        <w:rPr>
          <w:rFonts w:hint="eastAsia"/>
          <w:color w:val="auto"/>
          <w:highlight w:val="none"/>
        </w:rPr>
        <w:t>合作，明确双方的诚信合规责任，依据国家法律法规的相关规定，在遵循平等、自愿的基础上，经双方友好协商一致，签订合规协议</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eastAsia="zh-CN"/>
        </w:rPr>
        <w:t>一、双方承诺</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GB"/>
        </w:rPr>
      </w:pPr>
      <w:r>
        <w:rPr>
          <w:rFonts w:hint="eastAsia"/>
          <w:color w:val="auto"/>
          <w:highlight w:val="none"/>
          <w:lang w:val="en-US" w:eastAsia="zh-CN"/>
        </w:rPr>
        <w:t>1.</w:t>
      </w:r>
      <w:r>
        <w:rPr>
          <w:rFonts w:hint="eastAsia"/>
          <w:color w:val="auto"/>
          <w:highlight w:val="none"/>
          <w:lang w:val="en-GB"/>
        </w:rPr>
        <w:t>坚持以习近平新时代中国特色社会主义思想为指导，积极培育企业合规管理能力，保障</w:t>
      </w:r>
      <w:r>
        <w:rPr>
          <w:rFonts w:hint="eastAsia"/>
          <w:color w:val="auto"/>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lang w:val="en-US" w:eastAsia="zh-CN"/>
        </w:rPr>
        <w:t>2.</w:t>
      </w:r>
      <w:r>
        <w:rPr>
          <w:rFonts w:hint="eastAsia"/>
          <w:color w:val="auto"/>
          <w:highlight w:val="none"/>
        </w:rPr>
        <w:t>将合规管理要求全面嵌入</w:t>
      </w:r>
      <w:r>
        <w:rPr>
          <w:rFonts w:hint="eastAsia"/>
          <w:color w:val="auto"/>
          <w:highlight w:val="none"/>
          <w:lang w:eastAsia="zh-CN"/>
        </w:rPr>
        <w:t>合同涉及业务各个方面</w:t>
      </w:r>
      <w:r>
        <w:rPr>
          <w:rFonts w:hint="eastAsia"/>
          <w:color w:val="auto"/>
          <w:highlight w:val="none"/>
        </w:rPr>
        <w:t>，在</w:t>
      </w:r>
      <w:r>
        <w:rPr>
          <w:rFonts w:hint="eastAsia"/>
          <w:color w:val="auto"/>
          <w:highlight w:val="none"/>
          <w:lang w:eastAsia="zh-CN"/>
        </w:rPr>
        <w:t>合同履行中确定</w:t>
      </w:r>
      <w:r>
        <w:rPr>
          <w:rFonts w:hint="eastAsia"/>
          <w:color w:val="auto"/>
          <w:highlight w:val="none"/>
        </w:rPr>
        <w:t>合规管理重点，落实合规人人有责、人人参与，促进</w:t>
      </w:r>
      <w:r>
        <w:rPr>
          <w:rFonts w:hint="eastAsia"/>
          <w:color w:val="auto"/>
          <w:highlight w:val="none"/>
          <w:lang w:eastAsia="zh-CN"/>
        </w:rPr>
        <w:t>合同履行</w:t>
      </w:r>
      <w:r>
        <w:rPr>
          <w:rFonts w:hint="eastAsia"/>
          <w:color w:val="auto"/>
          <w:highlight w:val="none"/>
        </w:rPr>
        <w:t>全面合规。</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lang w:val="en-US" w:eastAsia="zh-CN"/>
        </w:rPr>
        <w:t>3.</w:t>
      </w:r>
      <w:r>
        <w:rPr>
          <w:rFonts w:hint="eastAsia"/>
          <w:color w:val="auto"/>
          <w:highlight w:val="none"/>
        </w:rPr>
        <w:t>立足防范合规风险，强调关口前移、事前防范和过程控制，通过</w:t>
      </w:r>
      <w:r>
        <w:rPr>
          <w:rFonts w:hint="eastAsia"/>
          <w:color w:val="auto"/>
          <w:highlight w:val="none"/>
          <w:lang w:val="en-US" w:eastAsia="zh-CN"/>
        </w:rPr>
        <w:t>积极主动开展合规风险辨识</w:t>
      </w:r>
      <w:r>
        <w:rPr>
          <w:rFonts w:hint="eastAsia"/>
          <w:color w:val="auto"/>
          <w:highlight w:val="none"/>
        </w:rPr>
        <w:t>，达到警示和预防目的。</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eastAsia="zh-CN"/>
        </w:rPr>
        <w:t>二、双方参与合同履行人员做到</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eastAsia="zh-CN"/>
        </w:rPr>
        <w:t>三、违规事件即时报告</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乙方因履行主合同发生违规事件，乙方应在24小时以内以书面形式报甲方，其简况至少包含以下内容：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3.违规事件发生的原因。</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四、违规事件责任的承担</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乙方在合同履行合同期间因不合规行为，致使甲方受到行政处罚，处罚金由乙方承担；给甲方造成损失的，乙方承担相应赔偿责任。</w:t>
      </w:r>
    </w:p>
    <w:tbl>
      <w:tblPr>
        <w:tblStyle w:val="16"/>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noWrap w:val="0"/>
            <w:vAlign w:val="top"/>
          </w:tcPr>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甲方（发包人、委托人、买方）：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法定代表人（负责人）或</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授权代表（签字）：</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签订日期：</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tc>
        <w:tc>
          <w:tcPr>
            <w:tcW w:w="4261" w:type="dxa"/>
            <w:noWrap w:val="0"/>
            <w:vAlign w:val="top"/>
          </w:tcPr>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乙方（承包人、受托人、卖方）：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法定代表人（负责人）或</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授权代表（签字）：</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签订日期：</w:t>
            </w:r>
          </w:p>
        </w:tc>
      </w:tr>
    </w:tbl>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工程廉政合同</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根据国家《反不正当竞争法》、《建筑法》、《招标投标法》等有关法律法规及相关规定，确保工程建设甲乙双方秉公行事、工程质量达到工程建设合同规定标准、干部廉洁，在签订工程建设合同的同时，自愿签订本合同。</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第一条  甲乙双方责任</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（一）应严格遵守国家关于市场准入、项目招标投标、工程建设和市场活动的有关法律法规和相关规定，以及廉政建设的各项规定。</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（二）严格执行工程建设合同文件，自觉按合同办事。</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（三）业务活动必须坚持公开、公平、公正、诚信、透明的原则（除法律法规另有规定者除外），不得为获取不正当利益，损害国家、集体和双方利益，不得违反工程建设管理的规章制度。</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（四）发现对方在业务活动中有违规违纪行为的，应及时提醒对方，情节严重的，应向甲乙双方及其上级主管部门或纪检监察、司法等有关机关举报。</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第二条  甲方责任</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甲方各级领导和从事该建设工程项目的工作人员，在工程建设事前、事中、事后应遵守以下规定：</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（一）不准向乙方和相关单位索要或接受回扣、礼品、礼金和各种有价证券、信用卡及其他支付凭证、好处费、感谢费等。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（二）不准在乙方和相关单位报销任何由甲方或个人支付的费用等。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（三）不准借用、租用乙方的交通、通讯工具等物品，不得参加有可能影响公正执行公务的乙方和相关单位的宴请、健身、娱乐、庆典活动等。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（四）不准要求、暗示或接受乙方和相关单位为个人装修住房、婚丧嫁娶、配偶子女的工作安排以及出国（境）、旅游等提供方便。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五）不准向乙方和相关单位介绍或为配偶、子女、亲属参与同甲方建设项目有关的材料供应、工程分包、工程监理、工程装修装饰、组织提供劳务等活动;不得以任何理由指定乙方和相关单位使用某种产品、材料和设备。</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第三条  乙方责任</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应与甲方保持正常的业务交往，按照有关法律法规和相关规定开展业务，严格执行工程建设有关方针、政策，并遵守以下规定：</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（一）不准以任何理由向甲方及其工作人员索要、接受或赠送礼品、礼金和各种有价证券、信用卡及其他支付凭证、回扣、好处费、感谢费等。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（二）不准以任何理由为甲方及其相关人员报销应由对方单位或个人支付的费用。</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（三）不准以任何理由为甲方及其相关人员借用或租用交通、通讯工具等物品，不得为甲方、相关单位或个人组织有可能影响公正执行公务的宴请、健身、娱乐、庆典活动等。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（四）不准接受和暗示为甲方、相关单位或个人装修住房、婚丧嫁娶、配偶子女的工作安排以及出国（境）、旅游等提供方便。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第四条  违约责任</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一）甲方工作人员有违反本合同第一、二条责任行为的，按照管理权限，依据有关法律法规和相关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二）乙方工作人员有违反本合同第一、三条责任行为的，按照管理权限，依据有关法律法规和相关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第五条  本合同为工程建设合同的附件，经双方签署后立即生效。</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第六条  本合同有效期为双方签署之日起至该工程项目竣工验收达到工程建设合同规定质量标准时止。</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2" w:firstLineChars="200"/>
        <w:textAlignment w:val="auto"/>
        <w:outlineLvl w:val="1"/>
        <w:rPr>
          <w:rFonts w:hint="eastAsia"/>
          <w:b/>
          <w:bCs/>
          <w:color w:val="auto"/>
          <w:highlight w:val="none"/>
          <w:lang w:val="en-US" w:eastAsia="zh-CN"/>
        </w:rPr>
      </w:pPr>
      <w:r>
        <w:rPr>
          <w:rFonts w:hint="eastAsia"/>
          <w:b/>
          <w:bCs/>
          <w:color w:val="auto"/>
          <w:highlight w:val="none"/>
          <w:lang w:val="en-US" w:eastAsia="zh-CN"/>
        </w:rPr>
        <w:t>供应商关于配合开展资质能力信息核实的承诺函</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lang w:val="en-US" w:eastAsia="zh-CN"/>
        </w:rPr>
        <w:t>（</w:t>
      </w:r>
      <w:r>
        <w:rPr>
          <w:rFonts w:hint="eastAsia"/>
          <w:color w:val="auto"/>
          <w:highlight w:val="none"/>
        </w:rPr>
        <w:t>附在商务标书中</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default"/>
          <w:color w:val="auto"/>
          <w:highlight w:val="none"/>
        </w:rPr>
      </w:pPr>
      <w:r>
        <w:rPr>
          <w:rFonts w:hint="eastAsia"/>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default"/>
          <w:color w:val="auto"/>
          <w:highlight w:val="none"/>
        </w:rPr>
      </w:pPr>
      <w:r>
        <w:rPr>
          <w:rFonts w:hint="eastAsia"/>
          <w:color w:val="auto"/>
          <w:highlight w:val="none"/>
          <w:lang w:val="en-US" w:eastAsia="zh-CN"/>
        </w:rPr>
        <w:t>**招标人/**代理机构： </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default"/>
          <w:color w:val="auto"/>
          <w:highlight w:val="none"/>
        </w:rPr>
      </w:pPr>
      <w:r>
        <w:rPr>
          <w:rFonts w:hint="eastAsia"/>
          <w:color w:val="auto"/>
          <w:highlight w:val="none"/>
          <w:lang w:val="en-US" w:eastAsia="zh-CN"/>
        </w:rPr>
        <w:t>我方（投标人）现郑重承诺如下：</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w:t>
      </w:r>
      <w:r>
        <w:rPr>
          <w:rFonts w:hint="eastAsia" w:ascii="宋体" w:hAnsi="宋体"/>
          <w:color w:val="auto"/>
          <w:kern w:val="0"/>
          <w:szCs w:val="21"/>
          <w:highlight w:val="none"/>
          <w:lang w:val="en-US" w:eastAsia="zh-CN"/>
        </w:rPr>
        <w:t>成交</w:t>
      </w:r>
      <w:r>
        <w:rPr>
          <w:rFonts w:hint="eastAsia"/>
          <w:color w:val="auto"/>
          <w:highlight w:val="none"/>
          <w:lang w:val="en-US" w:eastAsia="zh-CN"/>
        </w:rPr>
        <w:t>资格。同时如我方或外购外协供应商（如有）提供虚假投标信息，我方同意接受被纳入供应商不良行为处理的后果。</w:t>
      </w:r>
    </w:p>
    <w:p>
      <w:pPr>
        <w:pStyle w:val="2"/>
        <w:rPr>
          <w:rFonts w:hint="eastAsia"/>
          <w:color w:val="auto"/>
          <w:highlight w:val="none"/>
          <w:lang w:val="en-US" w:eastAsia="zh-CN"/>
        </w:rPr>
      </w:pPr>
    </w:p>
    <w:p>
      <w:pPr>
        <w:pStyle w:val="3"/>
        <w:rPr>
          <w:rFonts w:hint="eastAsia"/>
          <w:color w:val="auto"/>
          <w:highlight w:val="none"/>
          <w:lang w:val="en-US" w:eastAsia="zh-CN"/>
        </w:rPr>
      </w:pPr>
    </w:p>
    <w:p>
      <w:pPr>
        <w:rPr>
          <w:rFonts w:hint="eastAsia"/>
          <w:color w:val="auto"/>
          <w:highlight w:val="none"/>
          <w:lang w:val="en-US" w:eastAsia="zh-CN"/>
        </w:rPr>
      </w:pPr>
    </w:p>
    <w:p>
      <w:pPr>
        <w:pStyle w:val="2"/>
        <w:rPr>
          <w:rFonts w:hint="default"/>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20" w:firstLineChars="200"/>
        <w:jc w:val="right"/>
        <w:textAlignment w:val="auto"/>
        <w:outlineLvl w:val="1"/>
        <w:rPr>
          <w:rFonts w:hint="default"/>
          <w:color w:val="auto"/>
          <w:highlight w:val="none"/>
        </w:rPr>
      </w:pPr>
      <w:r>
        <w:rPr>
          <w:rFonts w:hint="eastAsia"/>
          <w:color w:val="auto"/>
          <w:highlight w:val="none"/>
          <w:lang w:val="en-US" w:eastAsia="zh-CN"/>
        </w:rPr>
        <w:t>投标人：（盖单位章）</w:t>
      </w:r>
    </w:p>
    <w:p>
      <w:pPr>
        <w:keepNext w:val="0"/>
        <w:keepLines w:val="0"/>
        <w:pageBreakBefore w:val="0"/>
        <w:widowControl w:val="0"/>
        <w:kinsoku/>
        <w:wordWrap/>
        <w:overflowPunct/>
        <w:topLinePunct w:val="0"/>
        <w:autoSpaceDE/>
        <w:autoSpaceDN/>
        <w:bidi w:val="0"/>
        <w:spacing w:line="380" w:lineRule="atLeast"/>
        <w:ind w:firstLine="420" w:firstLineChars="200"/>
        <w:jc w:val="right"/>
        <w:textAlignment w:val="auto"/>
        <w:outlineLvl w:val="1"/>
        <w:rPr>
          <w:rFonts w:hint="default"/>
          <w:color w:val="auto"/>
          <w:highlight w:val="none"/>
        </w:rPr>
      </w:pPr>
      <w:r>
        <w:rPr>
          <w:rFonts w:hint="eastAsia"/>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20" w:firstLineChars="200"/>
        <w:jc w:val="right"/>
        <w:textAlignment w:val="auto"/>
        <w:outlineLvl w:val="1"/>
        <w:rPr>
          <w:rFonts w:hint="eastAsia"/>
          <w:color w:val="auto"/>
          <w:highlight w:val="none"/>
        </w:rPr>
      </w:pPr>
      <w:r>
        <w:rPr>
          <w:rFonts w:hint="eastAsia"/>
          <w:color w:val="auto"/>
          <w:highlight w:val="none"/>
          <w:lang w:val="en-US" w:eastAsia="zh-CN"/>
        </w:rPr>
        <w:t>时间：    年    月    日</w:t>
      </w:r>
    </w:p>
    <w:sectPr>
      <w:footerReference r:id="rId4"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大宋简">
    <w:altName w:val="宋体"/>
    <w:panose1 w:val="00000000000000000000"/>
    <w:charset w:val="86"/>
    <w:family w:val="modern"/>
    <w:pitch w:val="default"/>
    <w:sig w:usb0="00000000" w:usb1="00000000" w:usb2="00000012"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YwMTQ4NmQyZDg0NWIxMGM3MDIzOWMzNmYzNjEifQ=="/>
  </w:docVars>
  <w:rsids>
    <w:rsidRoot w:val="63FF32C2"/>
    <w:rsid w:val="00011C92"/>
    <w:rsid w:val="000262DF"/>
    <w:rsid w:val="00093C0E"/>
    <w:rsid w:val="000A4128"/>
    <w:rsid w:val="00160456"/>
    <w:rsid w:val="001D2412"/>
    <w:rsid w:val="001E283B"/>
    <w:rsid w:val="001E5A5C"/>
    <w:rsid w:val="0022582D"/>
    <w:rsid w:val="003C72F6"/>
    <w:rsid w:val="003D2490"/>
    <w:rsid w:val="00494552"/>
    <w:rsid w:val="004E62D4"/>
    <w:rsid w:val="004F4BC7"/>
    <w:rsid w:val="0057332D"/>
    <w:rsid w:val="00653924"/>
    <w:rsid w:val="00656E85"/>
    <w:rsid w:val="00762C6D"/>
    <w:rsid w:val="007874EA"/>
    <w:rsid w:val="007B172A"/>
    <w:rsid w:val="0088086F"/>
    <w:rsid w:val="0089243C"/>
    <w:rsid w:val="008C4FEE"/>
    <w:rsid w:val="009B5747"/>
    <w:rsid w:val="00B26D91"/>
    <w:rsid w:val="00BC09C8"/>
    <w:rsid w:val="00C30E86"/>
    <w:rsid w:val="00CA544D"/>
    <w:rsid w:val="00D83727"/>
    <w:rsid w:val="00D91B46"/>
    <w:rsid w:val="00E540FB"/>
    <w:rsid w:val="00E80287"/>
    <w:rsid w:val="00F6568F"/>
    <w:rsid w:val="00F9015E"/>
    <w:rsid w:val="01067881"/>
    <w:rsid w:val="011E4AAF"/>
    <w:rsid w:val="01546F8B"/>
    <w:rsid w:val="01F56282"/>
    <w:rsid w:val="01F6686E"/>
    <w:rsid w:val="023747C7"/>
    <w:rsid w:val="02A476C0"/>
    <w:rsid w:val="035C2CB4"/>
    <w:rsid w:val="03B662A7"/>
    <w:rsid w:val="03B81C79"/>
    <w:rsid w:val="03BE2C65"/>
    <w:rsid w:val="04724182"/>
    <w:rsid w:val="047A2FAF"/>
    <w:rsid w:val="048F061F"/>
    <w:rsid w:val="049E7669"/>
    <w:rsid w:val="05996151"/>
    <w:rsid w:val="06B83F6E"/>
    <w:rsid w:val="06C255B2"/>
    <w:rsid w:val="06D51D22"/>
    <w:rsid w:val="07400644"/>
    <w:rsid w:val="07813F9C"/>
    <w:rsid w:val="07E7724D"/>
    <w:rsid w:val="08261086"/>
    <w:rsid w:val="08CB2FF7"/>
    <w:rsid w:val="08F5280F"/>
    <w:rsid w:val="0924377F"/>
    <w:rsid w:val="09A31B88"/>
    <w:rsid w:val="0A2A649B"/>
    <w:rsid w:val="0B114D0B"/>
    <w:rsid w:val="0C4572B7"/>
    <w:rsid w:val="0C847253"/>
    <w:rsid w:val="0D0F4B46"/>
    <w:rsid w:val="0D3D3D4A"/>
    <w:rsid w:val="0E6F1353"/>
    <w:rsid w:val="0EB87761"/>
    <w:rsid w:val="0EBB4127"/>
    <w:rsid w:val="0F554E21"/>
    <w:rsid w:val="0F5816E4"/>
    <w:rsid w:val="0F99747A"/>
    <w:rsid w:val="113463D0"/>
    <w:rsid w:val="115E401A"/>
    <w:rsid w:val="11B9058F"/>
    <w:rsid w:val="12443564"/>
    <w:rsid w:val="12886A34"/>
    <w:rsid w:val="14046B5B"/>
    <w:rsid w:val="14235532"/>
    <w:rsid w:val="149572C6"/>
    <w:rsid w:val="14B42499"/>
    <w:rsid w:val="15075299"/>
    <w:rsid w:val="157D682B"/>
    <w:rsid w:val="159D48D4"/>
    <w:rsid w:val="1682604B"/>
    <w:rsid w:val="16876246"/>
    <w:rsid w:val="16A9396A"/>
    <w:rsid w:val="16B010D2"/>
    <w:rsid w:val="16C866D4"/>
    <w:rsid w:val="16D66F48"/>
    <w:rsid w:val="16EE68D0"/>
    <w:rsid w:val="17B87F13"/>
    <w:rsid w:val="18275D28"/>
    <w:rsid w:val="18566C7E"/>
    <w:rsid w:val="186B6C72"/>
    <w:rsid w:val="19D343D3"/>
    <w:rsid w:val="1A157EC1"/>
    <w:rsid w:val="1A23647C"/>
    <w:rsid w:val="1B26327E"/>
    <w:rsid w:val="1B945006"/>
    <w:rsid w:val="1BA56D6C"/>
    <w:rsid w:val="1C001F31"/>
    <w:rsid w:val="1C7A0D2C"/>
    <w:rsid w:val="1C872219"/>
    <w:rsid w:val="1C8B0028"/>
    <w:rsid w:val="1CAB704B"/>
    <w:rsid w:val="1CBB003B"/>
    <w:rsid w:val="1CFF6EE1"/>
    <w:rsid w:val="1D492F06"/>
    <w:rsid w:val="1D4A57B2"/>
    <w:rsid w:val="1D8D098D"/>
    <w:rsid w:val="1D8D6DBC"/>
    <w:rsid w:val="1D924672"/>
    <w:rsid w:val="1DAB39C2"/>
    <w:rsid w:val="1DD45FDE"/>
    <w:rsid w:val="1E522657"/>
    <w:rsid w:val="1F0F6403"/>
    <w:rsid w:val="1F2C0860"/>
    <w:rsid w:val="1F6839EA"/>
    <w:rsid w:val="1FDE4949"/>
    <w:rsid w:val="1FE72F75"/>
    <w:rsid w:val="200138DD"/>
    <w:rsid w:val="20636E23"/>
    <w:rsid w:val="20787BB3"/>
    <w:rsid w:val="20B834DE"/>
    <w:rsid w:val="20D94DB9"/>
    <w:rsid w:val="21025780"/>
    <w:rsid w:val="218C3572"/>
    <w:rsid w:val="21A5041A"/>
    <w:rsid w:val="21A95340"/>
    <w:rsid w:val="21D20C18"/>
    <w:rsid w:val="22032154"/>
    <w:rsid w:val="2269252F"/>
    <w:rsid w:val="22C66D39"/>
    <w:rsid w:val="22D46441"/>
    <w:rsid w:val="235D04D3"/>
    <w:rsid w:val="23DA16CD"/>
    <w:rsid w:val="245B1090"/>
    <w:rsid w:val="245C4D1A"/>
    <w:rsid w:val="24683236"/>
    <w:rsid w:val="254C1F47"/>
    <w:rsid w:val="25757C1C"/>
    <w:rsid w:val="257A206D"/>
    <w:rsid w:val="25EE10BB"/>
    <w:rsid w:val="266A79A3"/>
    <w:rsid w:val="26BE0B9D"/>
    <w:rsid w:val="272D1A8D"/>
    <w:rsid w:val="27365811"/>
    <w:rsid w:val="27B53E85"/>
    <w:rsid w:val="285A5DEB"/>
    <w:rsid w:val="2900692C"/>
    <w:rsid w:val="2A1D2E4B"/>
    <w:rsid w:val="2A986692"/>
    <w:rsid w:val="2ABB1E6D"/>
    <w:rsid w:val="2ACF6E5B"/>
    <w:rsid w:val="2AF25AC9"/>
    <w:rsid w:val="2B4F70D3"/>
    <w:rsid w:val="2B5E4B3E"/>
    <w:rsid w:val="2B6F6DA0"/>
    <w:rsid w:val="2B885D0D"/>
    <w:rsid w:val="2BB64162"/>
    <w:rsid w:val="2C0133A5"/>
    <w:rsid w:val="2C082BA6"/>
    <w:rsid w:val="2C2B19AE"/>
    <w:rsid w:val="2C933CBD"/>
    <w:rsid w:val="2CAD41DC"/>
    <w:rsid w:val="2CD41A3B"/>
    <w:rsid w:val="2DAA2099"/>
    <w:rsid w:val="2DBB61FB"/>
    <w:rsid w:val="2DD020CB"/>
    <w:rsid w:val="2E375F48"/>
    <w:rsid w:val="2E7F4852"/>
    <w:rsid w:val="2E965449"/>
    <w:rsid w:val="2EF7625F"/>
    <w:rsid w:val="2EFE2EED"/>
    <w:rsid w:val="2F54563B"/>
    <w:rsid w:val="2F903476"/>
    <w:rsid w:val="2F905409"/>
    <w:rsid w:val="2FEA1785"/>
    <w:rsid w:val="307B427A"/>
    <w:rsid w:val="30A05A33"/>
    <w:rsid w:val="311C2173"/>
    <w:rsid w:val="31D6669A"/>
    <w:rsid w:val="322F0CE5"/>
    <w:rsid w:val="323179BD"/>
    <w:rsid w:val="329C525E"/>
    <w:rsid w:val="32DC373F"/>
    <w:rsid w:val="32E13EA4"/>
    <w:rsid w:val="334C06E8"/>
    <w:rsid w:val="33525B29"/>
    <w:rsid w:val="33A26CB4"/>
    <w:rsid w:val="33CA041D"/>
    <w:rsid w:val="34081202"/>
    <w:rsid w:val="345B5070"/>
    <w:rsid w:val="34E363C7"/>
    <w:rsid w:val="35BA7857"/>
    <w:rsid w:val="36457B95"/>
    <w:rsid w:val="365B55CE"/>
    <w:rsid w:val="367D26FE"/>
    <w:rsid w:val="377A49B8"/>
    <w:rsid w:val="3815292B"/>
    <w:rsid w:val="38306446"/>
    <w:rsid w:val="384F5A48"/>
    <w:rsid w:val="38773730"/>
    <w:rsid w:val="38D6455D"/>
    <w:rsid w:val="38D84E08"/>
    <w:rsid w:val="38E12EC7"/>
    <w:rsid w:val="390749DA"/>
    <w:rsid w:val="39096EF6"/>
    <w:rsid w:val="396638F4"/>
    <w:rsid w:val="39791FB0"/>
    <w:rsid w:val="39E10B14"/>
    <w:rsid w:val="3AAB754C"/>
    <w:rsid w:val="3ABC1C52"/>
    <w:rsid w:val="3B3247E9"/>
    <w:rsid w:val="3B6153DF"/>
    <w:rsid w:val="3B6C0A00"/>
    <w:rsid w:val="3B791766"/>
    <w:rsid w:val="3C9358B1"/>
    <w:rsid w:val="3D0F0EDE"/>
    <w:rsid w:val="3DA67C25"/>
    <w:rsid w:val="3E32219A"/>
    <w:rsid w:val="3E983138"/>
    <w:rsid w:val="3EAC22D1"/>
    <w:rsid w:val="3F03294A"/>
    <w:rsid w:val="3F6D540F"/>
    <w:rsid w:val="3F833011"/>
    <w:rsid w:val="3F965E30"/>
    <w:rsid w:val="3FB46F29"/>
    <w:rsid w:val="3FC84CA4"/>
    <w:rsid w:val="3FDF4731"/>
    <w:rsid w:val="3FE80886"/>
    <w:rsid w:val="3FED18DD"/>
    <w:rsid w:val="404B2508"/>
    <w:rsid w:val="40D16E54"/>
    <w:rsid w:val="41D874CF"/>
    <w:rsid w:val="420818DF"/>
    <w:rsid w:val="42163474"/>
    <w:rsid w:val="42674D80"/>
    <w:rsid w:val="42B136F4"/>
    <w:rsid w:val="42D81DBA"/>
    <w:rsid w:val="43995964"/>
    <w:rsid w:val="43EB086C"/>
    <w:rsid w:val="440B0518"/>
    <w:rsid w:val="44752920"/>
    <w:rsid w:val="450C095B"/>
    <w:rsid w:val="45554E19"/>
    <w:rsid w:val="45782224"/>
    <w:rsid w:val="4590799F"/>
    <w:rsid w:val="45F245A2"/>
    <w:rsid w:val="46071DD8"/>
    <w:rsid w:val="46410CAA"/>
    <w:rsid w:val="466B695B"/>
    <w:rsid w:val="46E360C5"/>
    <w:rsid w:val="47674747"/>
    <w:rsid w:val="477C4679"/>
    <w:rsid w:val="47BF6D6A"/>
    <w:rsid w:val="48012067"/>
    <w:rsid w:val="4A2F0353"/>
    <w:rsid w:val="4A3E6229"/>
    <w:rsid w:val="4A5A5998"/>
    <w:rsid w:val="4BB730EE"/>
    <w:rsid w:val="4BF649E0"/>
    <w:rsid w:val="4C63607F"/>
    <w:rsid w:val="4CC24852"/>
    <w:rsid w:val="4D470AF9"/>
    <w:rsid w:val="4D6B0A46"/>
    <w:rsid w:val="4E197652"/>
    <w:rsid w:val="4E9B33C3"/>
    <w:rsid w:val="4EBE6D08"/>
    <w:rsid w:val="4EE303F2"/>
    <w:rsid w:val="4F094C1E"/>
    <w:rsid w:val="4F4457F1"/>
    <w:rsid w:val="4F825203"/>
    <w:rsid w:val="4F9E2C37"/>
    <w:rsid w:val="4FA66852"/>
    <w:rsid w:val="4FC568EC"/>
    <w:rsid w:val="504C5E1B"/>
    <w:rsid w:val="50B442BE"/>
    <w:rsid w:val="513E20F2"/>
    <w:rsid w:val="51455F85"/>
    <w:rsid w:val="51D3309E"/>
    <w:rsid w:val="52340735"/>
    <w:rsid w:val="52AE1DD0"/>
    <w:rsid w:val="52AF38D6"/>
    <w:rsid w:val="52C56FE9"/>
    <w:rsid w:val="52E22988"/>
    <w:rsid w:val="52F46F07"/>
    <w:rsid w:val="53B9246E"/>
    <w:rsid w:val="5438748C"/>
    <w:rsid w:val="5449457E"/>
    <w:rsid w:val="54A7292E"/>
    <w:rsid w:val="55143A54"/>
    <w:rsid w:val="557632CB"/>
    <w:rsid w:val="55AF5F18"/>
    <w:rsid w:val="55CB3D4E"/>
    <w:rsid w:val="565B4176"/>
    <w:rsid w:val="56A73745"/>
    <w:rsid w:val="574015EF"/>
    <w:rsid w:val="57591E11"/>
    <w:rsid w:val="578537A1"/>
    <w:rsid w:val="58091079"/>
    <w:rsid w:val="587F3ECC"/>
    <w:rsid w:val="58967215"/>
    <w:rsid w:val="58CE15F8"/>
    <w:rsid w:val="59206D58"/>
    <w:rsid w:val="59546071"/>
    <w:rsid w:val="59AF415A"/>
    <w:rsid w:val="59B4193C"/>
    <w:rsid w:val="5A7C2FD4"/>
    <w:rsid w:val="5A8D10D2"/>
    <w:rsid w:val="5AE73B07"/>
    <w:rsid w:val="5B9C1182"/>
    <w:rsid w:val="5C0707E8"/>
    <w:rsid w:val="5C507B2A"/>
    <w:rsid w:val="5C54185E"/>
    <w:rsid w:val="5CB0239E"/>
    <w:rsid w:val="5D1F3DA7"/>
    <w:rsid w:val="5E5D2B98"/>
    <w:rsid w:val="5F620BB0"/>
    <w:rsid w:val="5FE31D58"/>
    <w:rsid w:val="60044E17"/>
    <w:rsid w:val="61172A3C"/>
    <w:rsid w:val="619453DE"/>
    <w:rsid w:val="61CD79DB"/>
    <w:rsid w:val="62771F45"/>
    <w:rsid w:val="62AD789D"/>
    <w:rsid w:val="62BA58E5"/>
    <w:rsid w:val="62EA032C"/>
    <w:rsid w:val="63FF32C2"/>
    <w:rsid w:val="640D249F"/>
    <w:rsid w:val="641D3E6B"/>
    <w:rsid w:val="64766D5D"/>
    <w:rsid w:val="64A44938"/>
    <w:rsid w:val="64AA41A5"/>
    <w:rsid w:val="65711A62"/>
    <w:rsid w:val="65C4274B"/>
    <w:rsid w:val="65DA7778"/>
    <w:rsid w:val="666A3BDC"/>
    <w:rsid w:val="66800C22"/>
    <w:rsid w:val="66CE5AA4"/>
    <w:rsid w:val="66E20A9B"/>
    <w:rsid w:val="66F81B32"/>
    <w:rsid w:val="6700050A"/>
    <w:rsid w:val="675F4747"/>
    <w:rsid w:val="67BF51A0"/>
    <w:rsid w:val="67DB0036"/>
    <w:rsid w:val="67DE6DF0"/>
    <w:rsid w:val="67F96C92"/>
    <w:rsid w:val="685F1068"/>
    <w:rsid w:val="69606023"/>
    <w:rsid w:val="6A4467DF"/>
    <w:rsid w:val="6A4B0039"/>
    <w:rsid w:val="6B1037DA"/>
    <w:rsid w:val="6BCD5CF4"/>
    <w:rsid w:val="6BE87390"/>
    <w:rsid w:val="6BF731D2"/>
    <w:rsid w:val="6C1C2C9E"/>
    <w:rsid w:val="6C6123D3"/>
    <w:rsid w:val="6D21376E"/>
    <w:rsid w:val="6D676975"/>
    <w:rsid w:val="6EA64132"/>
    <w:rsid w:val="6EBF1C97"/>
    <w:rsid w:val="6F9B68A0"/>
    <w:rsid w:val="6FD83802"/>
    <w:rsid w:val="703C7FC9"/>
    <w:rsid w:val="704B16FD"/>
    <w:rsid w:val="70634733"/>
    <w:rsid w:val="708776EE"/>
    <w:rsid w:val="71017963"/>
    <w:rsid w:val="71495BBF"/>
    <w:rsid w:val="72863BD4"/>
    <w:rsid w:val="728F3DC6"/>
    <w:rsid w:val="72AC1B88"/>
    <w:rsid w:val="72B6081C"/>
    <w:rsid w:val="72D40511"/>
    <w:rsid w:val="72DA29FF"/>
    <w:rsid w:val="72E107C3"/>
    <w:rsid w:val="739C0982"/>
    <w:rsid w:val="73AA571D"/>
    <w:rsid w:val="749B71C5"/>
    <w:rsid w:val="74BB6D0A"/>
    <w:rsid w:val="74D177CE"/>
    <w:rsid w:val="752D321A"/>
    <w:rsid w:val="75960739"/>
    <w:rsid w:val="75AC68F9"/>
    <w:rsid w:val="75BB32FD"/>
    <w:rsid w:val="76252EB9"/>
    <w:rsid w:val="76E427BC"/>
    <w:rsid w:val="77034FCF"/>
    <w:rsid w:val="777D1FE1"/>
    <w:rsid w:val="77830C2B"/>
    <w:rsid w:val="77A76BA9"/>
    <w:rsid w:val="781C3694"/>
    <w:rsid w:val="781E190B"/>
    <w:rsid w:val="79235C5A"/>
    <w:rsid w:val="79944AF2"/>
    <w:rsid w:val="7A041EF4"/>
    <w:rsid w:val="7A686C93"/>
    <w:rsid w:val="7A852C23"/>
    <w:rsid w:val="7AED31B1"/>
    <w:rsid w:val="7B056E0F"/>
    <w:rsid w:val="7B2D1407"/>
    <w:rsid w:val="7B872FFC"/>
    <w:rsid w:val="7BDC1ECF"/>
    <w:rsid w:val="7D042609"/>
    <w:rsid w:val="7D6E6AF3"/>
    <w:rsid w:val="7E2103BA"/>
    <w:rsid w:val="7E283E6F"/>
    <w:rsid w:val="7E836A95"/>
    <w:rsid w:val="7E91013D"/>
    <w:rsid w:val="7ED35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topLinePunct/>
      <w:spacing w:line="480" w:lineRule="auto"/>
      <w:ind w:firstLine="420"/>
      <w:textAlignment w:val="baseline"/>
      <w:outlineLvl w:val="0"/>
    </w:pPr>
    <w:rPr>
      <w:rFonts w:eastAsia="汉仪大宋简"/>
      <w:kern w:val="44"/>
      <w:sz w:val="22"/>
    </w:rPr>
  </w:style>
  <w:style w:type="paragraph" w:styleId="5">
    <w:name w:val="heading 2"/>
    <w:basedOn w:val="4"/>
    <w:next w:val="1"/>
    <w:qFormat/>
    <w:uiPriority w:val="0"/>
    <w:pPr>
      <w:spacing w:before="260" w:after="260" w:line="413" w:lineRule="auto"/>
      <w:outlineLvl w:val="1"/>
    </w:pPr>
    <w:rPr>
      <w:rFonts w:ascii="Arial" w:hAnsi="Arial" w:eastAsia="黑体"/>
      <w:b/>
      <w:sz w:val="32"/>
    </w:rPr>
  </w:style>
  <w:style w:type="paragraph" w:styleId="6">
    <w:name w:val="heading 4"/>
    <w:basedOn w:val="1"/>
    <w:next w:val="1"/>
    <w:unhideWhenUsed/>
    <w:qFormat/>
    <w:uiPriority w:val="0"/>
    <w:pPr>
      <w:jc w:val="left"/>
      <w:outlineLvl w:val="3"/>
    </w:pPr>
    <w:rPr>
      <w:rFonts w:hint="eastAsia" w:ascii="宋体" w:hAnsi="宋体"/>
      <w:b/>
      <w:kern w:val="0"/>
      <w:sz w:val="24"/>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1"/>
    <w:semiHidden/>
    <w:qFormat/>
    <w:uiPriority w:val="0"/>
    <w:pPr>
      <w:spacing w:after="120"/>
    </w:pPr>
  </w:style>
  <w:style w:type="paragraph" w:styleId="7">
    <w:name w:val="Body Text Indent"/>
    <w:basedOn w:val="1"/>
    <w:unhideWhenUsed/>
    <w:qFormat/>
    <w:uiPriority w:val="0"/>
    <w:pPr>
      <w:spacing w:after="120"/>
      <w:ind w:left="420" w:leftChars="200"/>
    </w:pPr>
  </w:style>
  <w:style w:type="paragraph" w:styleId="8">
    <w:name w:val="Balloon Text"/>
    <w:basedOn w:val="1"/>
    <w:link w:val="23"/>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ind w:left="420" w:hanging="420"/>
    </w:pPr>
    <w:rPr>
      <w:rFonts w:hint="eastAsia" w:ascii="Times New Roman" w:hAnsi="Times New Roman" w:eastAsia="宋体" w:cs="Times New Roman"/>
      <w:szCs w:val="20"/>
    </w:rPr>
  </w:style>
  <w:style w:type="paragraph" w:styleId="12">
    <w:name w:val="Body Text First Indent"/>
    <w:basedOn w:val="3"/>
    <w:unhideWhenUsed/>
    <w:qFormat/>
    <w:uiPriority w:val="99"/>
    <w:pPr>
      <w:ind w:firstLine="420"/>
    </w:pPr>
  </w:style>
  <w:style w:type="paragraph" w:styleId="13">
    <w:name w:val="Body Text First Indent 2"/>
    <w:basedOn w:val="7"/>
    <w:next w:val="14"/>
    <w:qFormat/>
    <w:uiPriority w:val="0"/>
    <w:pPr>
      <w:ind w:leftChars="0" w:firstLine="420"/>
    </w:pPr>
    <w:rPr>
      <w:szCs w:val="24"/>
    </w:rPr>
  </w:style>
  <w:style w:type="paragraph" w:customStyle="1" w:styleId="14">
    <w:name w:val="表格文字"/>
    <w:basedOn w:val="11"/>
    <w:next w:val="1"/>
    <w:qFormat/>
    <w:uiPriority w:val="0"/>
    <w:pPr>
      <w:spacing w:line="420" w:lineRule="atLeast"/>
      <w:jc w:val="left"/>
      <w:textAlignment w:val="baseline"/>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single"/>
    </w:rPr>
  </w:style>
  <w:style w:type="paragraph" w:customStyle="1" w:styleId="19">
    <w:name w:val="p0"/>
    <w:basedOn w:val="1"/>
    <w:qFormat/>
    <w:uiPriority w:val="0"/>
    <w:pPr>
      <w:widowControl/>
    </w:pPr>
    <w:rPr>
      <w:kern w:val="0"/>
      <w:szCs w:val="21"/>
    </w:rPr>
  </w:style>
  <w:style w:type="paragraph" w:customStyle="1" w:styleId="20">
    <w:name w:val="列出段落2"/>
    <w:basedOn w:val="1"/>
    <w:unhideWhenUsed/>
    <w:qFormat/>
    <w:uiPriority w:val="0"/>
    <w:pPr>
      <w:ind w:firstLine="420" w:firstLineChars="200"/>
    </w:pPr>
  </w:style>
  <w:style w:type="character" w:customStyle="1" w:styleId="21">
    <w:name w:val="页眉 Char"/>
    <w:basedOn w:val="17"/>
    <w:link w:val="10"/>
    <w:qFormat/>
    <w:uiPriority w:val="0"/>
    <w:rPr>
      <w:rFonts w:ascii="Times New Roman" w:hAnsi="Times New Roman"/>
      <w:kern w:val="2"/>
      <w:sz w:val="18"/>
      <w:szCs w:val="18"/>
    </w:rPr>
  </w:style>
  <w:style w:type="character" w:customStyle="1" w:styleId="22">
    <w:name w:val="页脚 Char"/>
    <w:basedOn w:val="17"/>
    <w:link w:val="9"/>
    <w:qFormat/>
    <w:uiPriority w:val="0"/>
    <w:rPr>
      <w:rFonts w:ascii="Times New Roman" w:hAnsi="Times New Roman"/>
      <w:kern w:val="2"/>
      <w:sz w:val="18"/>
      <w:szCs w:val="18"/>
    </w:rPr>
  </w:style>
  <w:style w:type="character" w:customStyle="1" w:styleId="23">
    <w:name w:val="批注框文本 Char"/>
    <w:basedOn w:val="17"/>
    <w:link w:val="8"/>
    <w:qFormat/>
    <w:uiPriority w:val="0"/>
    <w:rPr>
      <w:kern w:val="2"/>
      <w:sz w:val="18"/>
      <w:szCs w:val="18"/>
    </w:rPr>
  </w:style>
  <w:style w:type="paragraph" w:customStyle="1" w:styleId="24">
    <w:name w:val="样式1"/>
    <w:basedOn w:val="9"/>
    <w:qFormat/>
    <w:uiPriority w:val="0"/>
    <w:pPr>
      <w:tabs>
        <w:tab w:val="left" w:pos="5113"/>
        <w:tab w:val="clear" w:pos="4153"/>
      </w:tabs>
    </w:pPr>
  </w:style>
  <w:style w:type="character" w:customStyle="1" w:styleId="25">
    <w:name w:val="font11"/>
    <w:basedOn w:val="17"/>
    <w:qFormat/>
    <w:uiPriority w:val="0"/>
    <w:rPr>
      <w:rFonts w:hint="eastAsia" w:ascii="宋体" w:hAnsi="宋体" w:eastAsia="宋体" w:cs="宋体"/>
      <w:color w:val="000000"/>
      <w:sz w:val="18"/>
      <w:szCs w:val="18"/>
      <w:u w:val="none"/>
    </w:rPr>
  </w:style>
  <w:style w:type="character" w:customStyle="1" w:styleId="26">
    <w:name w:val="font01"/>
    <w:basedOn w:val="17"/>
    <w:qFormat/>
    <w:uiPriority w:val="0"/>
    <w:rPr>
      <w:rFonts w:hint="default" w:ascii="Times New Roman" w:hAnsi="Times New Roman" w:cs="Times New Roman"/>
      <w:color w:val="000000"/>
      <w:sz w:val="18"/>
      <w:szCs w:val="18"/>
      <w:u w:val="none"/>
    </w:rPr>
  </w:style>
  <w:style w:type="character" w:customStyle="1" w:styleId="27">
    <w:name w:val="font81"/>
    <w:basedOn w:val="17"/>
    <w:qFormat/>
    <w:uiPriority w:val="0"/>
    <w:rPr>
      <w:rFonts w:hint="eastAsia" w:ascii="宋体" w:hAnsi="宋体" w:eastAsia="宋体" w:cs="宋体"/>
      <w:color w:val="000000"/>
      <w:sz w:val="20"/>
      <w:szCs w:val="20"/>
      <w:u w:val="none"/>
    </w:rPr>
  </w:style>
  <w:style w:type="character" w:customStyle="1" w:styleId="28">
    <w:name w:val="font21"/>
    <w:basedOn w:val="17"/>
    <w:qFormat/>
    <w:uiPriority w:val="0"/>
    <w:rPr>
      <w:rFonts w:hint="eastAsia" w:ascii="宋体" w:hAnsi="宋体" w:eastAsia="宋体" w:cs="宋体"/>
      <w:color w:val="000000"/>
      <w:sz w:val="18"/>
      <w:szCs w:val="18"/>
      <w:u w:val="none"/>
    </w:rPr>
  </w:style>
  <w:style w:type="character" w:customStyle="1" w:styleId="29">
    <w:name w:val="font31"/>
    <w:basedOn w:val="17"/>
    <w:qFormat/>
    <w:uiPriority w:val="0"/>
    <w:rPr>
      <w:rFonts w:hint="eastAsia" w:ascii="宋体" w:hAnsi="宋体" w:eastAsia="宋体" w:cs="宋体"/>
      <w:color w:val="FF0000"/>
      <w:sz w:val="18"/>
      <w:szCs w:val="18"/>
      <w:u w:val="none"/>
    </w:rPr>
  </w:style>
  <w:style w:type="character" w:customStyle="1" w:styleId="30">
    <w:name w:val="font51"/>
    <w:basedOn w:val="17"/>
    <w:qFormat/>
    <w:uiPriority w:val="0"/>
    <w:rPr>
      <w:rFonts w:hint="eastAsia" w:ascii="宋体" w:hAnsi="宋体" w:eastAsia="宋体" w:cs="宋体"/>
      <w:color w:val="FF0000"/>
      <w:sz w:val="20"/>
      <w:szCs w:val="20"/>
      <w:u w:val="none"/>
    </w:rPr>
  </w:style>
  <w:style w:type="character" w:customStyle="1" w:styleId="31">
    <w:name w:val="font41"/>
    <w:basedOn w:val="17"/>
    <w:qFormat/>
    <w:uiPriority w:val="0"/>
    <w:rPr>
      <w:rFonts w:hint="default" w:ascii="Arial" w:hAnsi="Arial" w:cs="Arial"/>
      <w:color w:val="FF0000"/>
      <w:sz w:val="20"/>
      <w:szCs w:val="20"/>
      <w:u w:val="none"/>
    </w:rPr>
  </w:style>
  <w:style w:type="paragraph" w:customStyle="1" w:styleId="32">
    <w:name w:val="正文文本4"/>
    <w:basedOn w:val="1"/>
    <w:qFormat/>
    <w:uiPriority w:val="0"/>
    <w:pPr>
      <w:autoSpaceDE w:val="0"/>
      <w:autoSpaceDN w:val="0"/>
    </w:pPr>
    <w:rPr>
      <w:rFonts w:ascii="宋体" w:hAnsi="宋体"/>
      <w:sz w:val="20"/>
      <w:lang w:val="zh-CN"/>
    </w:rPr>
  </w:style>
  <w:style w:type="paragraph" w:customStyle="1" w:styleId="33">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p0 New"/>
    <w:basedOn w:val="33"/>
    <w:qFormat/>
    <w:uiPriority w:val="0"/>
    <w:pPr>
      <w:widowControl/>
    </w:pPr>
    <w:rPr>
      <w:kern w:val="0"/>
      <w:szCs w:val="20"/>
    </w:rPr>
  </w:style>
  <w:style w:type="paragraph" w:customStyle="1" w:styleId="35">
    <w:name w:val="Table Paragraph"/>
    <w:basedOn w:val="1"/>
    <w:qFormat/>
    <w:uiPriority w:val="1"/>
    <w:pPr>
      <w:autoSpaceDE w:val="0"/>
      <w:autoSpaceDN w:val="0"/>
    </w:pPr>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19876</Words>
  <Characters>22144</Characters>
  <Lines>85</Lines>
  <Paragraphs>24</Paragraphs>
  <TotalTime>2</TotalTime>
  <ScaleCrop>false</ScaleCrop>
  <LinksUpToDate>false</LinksUpToDate>
  <CharactersWithSpaces>22249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2018-06-15T07:02:00Z</dcterms:created>
  <dc:creator>Administrator</dc:creator>
  <cp:lastModifiedBy>pc</cp:lastModifiedBy>
  <cp:lastPrinted>2022-08-04T00:46:00Z</cp:lastPrinted>
  <dcterms:modified xsi:type="dcterms:W3CDTF">2023-07-28T11:33:03Z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CB5CD75A109C4FDDB80175C6446AABE6_13</vt:lpwstr>
  </property>
</Properties>
</file>