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11.1评标办法</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.1.1采用综合评估法，分技术、商务、价格三个部分分别进行量化评审，每个部分满分均为100分，并按以下权重合计计算最终量化评审得分。</w:t>
      </w:r>
    </w:p>
    <w:tbl>
      <w:tblPr>
        <w:tblStyle w:val="4"/>
        <w:tblpPr w:leftFromText="180" w:rightFromText="180" w:vertAnchor="text" w:horzAnchor="page" w:tblpX="1810" w:tblpY="257"/>
        <w:tblOverlap w:val="never"/>
        <w:tblW w:w="8336" w:type="dxa"/>
        <w:tblInd w:w="0" w:type="dxa"/>
        <w:tblLayout w:type="fixed"/>
        <w:tblCellMar>
          <w:top w:w="15" w:type="dxa"/>
          <w:left w:w="15" w:type="dxa"/>
          <w:bottom w:w="15" w:type="dxa"/>
          <w:right w:w="15" w:type="dxa"/>
        </w:tblCellMar>
      </w:tblPr>
      <w:tblGrid>
        <w:gridCol w:w="777"/>
        <w:gridCol w:w="2020"/>
        <w:gridCol w:w="3157"/>
        <w:gridCol w:w="794"/>
        <w:gridCol w:w="794"/>
        <w:gridCol w:w="794"/>
      </w:tblGrid>
      <w:tr>
        <w:tblPrEx>
          <w:tblCellMar>
            <w:top w:w="15" w:type="dxa"/>
            <w:left w:w="15" w:type="dxa"/>
            <w:bottom w:w="15" w:type="dxa"/>
            <w:right w:w="15" w:type="dxa"/>
          </w:tblCellMar>
        </w:tblPrEx>
        <w:trPr>
          <w:trHeight w:val="278" w:hRule="atLeast"/>
        </w:trPr>
        <w:tc>
          <w:tcPr>
            <w:tcW w:w="777" w:type="dxa"/>
            <w:vMerge w:val="restart"/>
            <w:tcBorders>
              <w:top w:val="single" w:color="000000" w:sz="4" w:space="0"/>
              <w:left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2020"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分标编号</w:t>
            </w:r>
          </w:p>
        </w:tc>
        <w:tc>
          <w:tcPr>
            <w:tcW w:w="3157"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分标名称</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权重设置（%）</w:t>
            </w:r>
          </w:p>
        </w:tc>
      </w:tr>
      <w:tr>
        <w:tblPrEx>
          <w:tblCellMar>
            <w:top w:w="15" w:type="dxa"/>
            <w:left w:w="15" w:type="dxa"/>
            <w:bottom w:w="15" w:type="dxa"/>
            <w:right w:w="15" w:type="dxa"/>
          </w:tblCellMar>
        </w:tblPrEx>
        <w:trPr>
          <w:trHeight w:val="254" w:hRule="atLeast"/>
        </w:trPr>
        <w:tc>
          <w:tcPr>
            <w:tcW w:w="777"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p>
        </w:tc>
        <w:tc>
          <w:tcPr>
            <w:tcW w:w="2020"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p>
        </w:tc>
        <w:tc>
          <w:tcPr>
            <w:tcW w:w="3157"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sz w:val="18"/>
                <w:szCs w:val="18"/>
                <w:highlight w:val="none"/>
                <w:lang w:eastAsia="zh-CN"/>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技术</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商务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价格</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282208-1016004-9998</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低压开关柜</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282208-1007001-9999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组合互感器</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282208-1107007-0001</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配电终端(TTU)</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282208-1101029-9998</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故障录波及时间同步装置</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282208-1307013-0001</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通信单元（tcd0a1）</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6</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282208-1307013-0002</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通信单元（ssc6763）</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50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40</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7</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282208-1410007-9999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复合绝缘横担</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8</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282208-1600000-9999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接地模块</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9</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282208-1406030-9999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接地铁</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282208-1401014-9999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超高性能混凝土杆</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11</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282208-1401004-9999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复合材料杆</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12</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282208-1401007-9999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水泥制品</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13</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282208-1405014-9999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拉紧绝缘子</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14</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282208-1405029-9999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交流盘形悬式瓷复合绝缘子</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r>
        <w:tblPrEx>
          <w:tblCellMar>
            <w:top w:w="15" w:type="dxa"/>
            <w:left w:w="15" w:type="dxa"/>
            <w:bottom w:w="15" w:type="dxa"/>
            <w:right w:w="15" w:type="dxa"/>
          </w:tblCellMar>
        </w:tblPrEx>
        <w:trPr>
          <w:trHeight w:val="415"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15</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282208-1502009-9999</w:t>
            </w:r>
          </w:p>
        </w:tc>
        <w:tc>
          <w:tcPr>
            <w:tcW w:w="315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防鸟设备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w:t>
            </w:r>
          </w:p>
        </w:tc>
      </w:tr>
    </w:tbl>
    <w:p>
      <w:pPr>
        <w:ind w:firstLine="640" w:firstLineChars="200"/>
        <w:jc w:val="left"/>
        <w:rPr>
          <w:highlight w:val="yellow"/>
          <w:lang w:eastAsia="zh-CN"/>
        </w:rPr>
      </w:pPr>
    </w:p>
    <w:p>
      <w:pPr>
        <w:spacing w:line="360" w:lineRule="auto"/>
        <w:ind w:firstLine="435"/>
        <w:jc w:val="left"/>
        <w:rPr>
          <w:rFonts w:hint="eastAsia" w:asciiTheme="minorEastAsia" w:hAnsiTheme="minorEastAsia" w:eastAsiaTheme="minorEastAsia" w:cstheme="minorEastAsia"/>
          <w:sz w:val="22"/>
          <w:szCs w:val="22"/>
          <w:lang w:eastAsia="zh-CN"/>
        </w:rPr>
      </w:pP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.1.2 价格评审办法采用区间平均价浮动法，计算方法详见第三章评标办法</w:t>
      </w:r>
      <w:r>
        <w:rPr>
          <w:rFonts w:hint="eastAsia" w:ascii="方正仿宋_GBK" w:hAnsi="方正仿宋_GBK" w:eastAsia="方正仿宋_GBK" w:cs="方正仿宋_GBK"/>
          <w:sz w:val="30"/>
          <w:szCs w:val="30"/>
          <w:lang w:val="en-US" w:eastAsia="zh-CN"/>
        </w:rPr>
        <w:t>2.2.2条。</w:t>
      </w:r>
    </w:p>
    <w:tbl>
      <w:tblPr>
        <w:tblStyle w:val="4"/>
        <w:tblpPr w:leftFromText="180" w:rightFromText="180" w:vertAnchor="text" w:horzAnchor="page" w:tblpX="1794" w:tblpY="1016"/>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656"/>
        <w:gridCol w:w="2349"/>
        <w:gridCol w:w="398"/>
        <w:gridCol w:w="39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vMerge w:val="restart"/>
            <w:tcBorders>
              <w:tl2br w:val="nil"/>
              <w:tr2bl w:val="nil"/>
            </w:tcBorders>
            <w:vAlign w:val="center"/>
          </w:tcPr>
          <w:p>
            <w:pPr>
              <w:widowControl/>
              <w:jc w:val="left"/>
              <w:rPr>
                <w:rFonts w:hint="eastAsia" w:ascii="宋体" w:hAnsi="宋体" w:eastAsia="宋体" w:cs="宋体"/>
                <w:b/>
                <w:sz w:val="18"/>
                <w:szCs w:val="18"/>
                <w:highlight w:val="none"/>
              </w:rPr>
            </w:pPr>
            <w:r>
              <w:rPr>
                <w:rFonts w:hint="eastAsia" w:ascii="宋体" w:hAnsi="宋体" w:eastAsia="宋体" w:cs="宋体"/>
                <w:b/>
                <w:sz w:val="18"/>
                <w:szCs w:val="18"/>
                <w:highlight w:val="none"/>
                <w:lang w:eastAsia="zh-CN"/>
              </w:rPr>
              <w:t>分标</w:t>
            </w:r>
            <w:r>
              <w:rPr>
                <w:rFonts w:hint="eastAsia" w:ascii="宋体" w:hAnsi="宋体" w:eastAsia="宋体" w:cs="宋体"/>
                <w:b/>
                <w:sz w:val="18"/>
                <w:szCs w:val="18"/>
                <w:highlight w:val="none"/>
              </w:rPr>
              <w:t>名称</w:t>
            </w:r>
          </w:p>
        </w:tc>
        <w:tc>
          <w:tcPr>
            <w:tcW w:w="0" w:type="auto"/>
            <w:vMerge w:val="restart"/>
            <w:tcBorders>
              <w:tl2br w:val="nil"/>
              <w:tr2bl w:val="nil"/>
            </w:tcBorders>
            <w:vAlign w:val="center"/>
          </w:tcPr>
          <w:p>
            <w:pPr>
              <w:widowControl/>
              <w:ind w:left="0" w:leftChars="0" w:firstLine="0" w:firstLineChars="0"/>
              <w:jc w:val="left"/>
              <w:rPr>
                <w:rFonts w:hint="eastAsia" w:ascii="宋体" w:hAnsi="宋体" w:eastAsia="宋体" w:cs="宋体"/>
                <w:b/>
                <w:sz w:val="18"/>
                <w:szCs w:val="18"/>
                <w:highlight w:val="none"/>
              </w:rPr>
            </w:pPr>
            <w:r>
              <w:rPr>
                <w:rFonts w:hint="eastAsia" w:ascii="宋体" w:hAnsi="宋体" w:eastAsia="宋体" w:cs="宋体"/>
                <w:b/>
                <w:sz w:val="18"/>
                <w:szCs w:val="18"/>
                <w:highlight w:val="none"/>
              </w:rPr>
              <w:t>价格公式</w:t>
            </w:r>
          </w:p>
        </w:tc>
        <w:tc>
          <w:tcPr>
            <w:tcW w:w="0" w:type="auto"/>
            <w:gridSpan w:val="3"/>
            <w:tcBorders>
              <w:tl2br w:val="nil"/>
              <w:tr2bl w:val="nil"/>
            </w:tcBorders>
            <w:vAlign w:val="center"/>
          </w:tcPr>
          <w:p>
            <w:pPr>
              <w:widowControl/>
              <w:jc w:val="left"/>
              <w:rPr>
                <w:rFonts w:hint="eastAsia" w:ascii="宋体" w:hAnsi="宋体" w:eastAsia="宋体" w:cs="宋体"/>
                <w:b/>
                <w:sz w:val="18"/>
                <w:szCs w:val="18"/>
                <w:highlight w:val="none"/>
              </w:rPr>
            </w:pPr>
            <w:r>
              <w:rPr>
                <w:rFonts w:hint="eastAsia" w:ascii="宋体" w:hAnsi="宋体" w:eastAsia="宋体" w:cs="宋体"/>
                <w:b/>
                <w:sz w:val="18"/>
                <w:szCs w:val="18"/>
                <w:highlight w:val="none"/>
              </w:rPr>
              <w:t>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vMerge w:val="continue"/>
            <w:tcBorders>
              <w:tl2br w:val="nil"/>
              <w:tr2bl w:val="nil"/>
            </w:tcBorders>
            <w:vAlign w:val="center"/>
          </w:tcPr>
          <w:p>
            <w:pPr>
              <w:widowControl/>
              <w:jc w:val="left"/>
              <w:rPr>
                <w:rFonts w:hint="eastAsia" w:ascii="宋体" w:hAnsi="宋体" w:eastAsia="宋体" w:cs="宋体"/>
                <w:b/>
                <w:sz w:val="18"/>
                <w:szCs w:val="18"/>
                <w:highlight w:val="none"/>
              </w:rPr>
            </w:pPr>
          </w:p>
        </w:tc>
        <w:tc>
          <w:tcPr>
            <w:tcW w:w="0" w:type="auto"/>
            <w:vMerge w:val="continue"/>
            <w:tcBorders>
              <w:tl2br w:val="nil"/>
              <w:tr2bl w:val="nil"/>
            </w:tcBorders>
            <w:vAlign w:val="center"/>
          </w:tcPr>
          <w:p>
            <w:pPr>
              <w:widowControl/>
              <w:jc w:val="left"/>
              <w:rPr>
                <w:rFonts w:hint="eastAsia" w:ascii="宋体" w:hAnsi="宋体" w:eastAsia="宋体" w:cs="宋体"/>
                <w:b/>
                <w:sz w:val="18"/>
                <w:szCs w:val="18"/>
                <w:highlight w:val="none"/>
              </w:rPr>
            </w:pPr>
          </w:p>
        </w:tc>
        <w:tc>
          <w:tcPr>
            <w:tcW w:w="0" w:type="auto"/>
            <w:tcBorders>
              <w:tl2br w:val="nil"/>
              <w:tr2bl w:val="nil"/>
            </w:tcBorders>
            <w:vAlign w:val="center"/>
          </w:tcPr>
          <w:p>
            <w:pPr>
              <w:adjustRightInd w:val="0"/>
              <w:snapToGrid w:val="0"/>
              <w:jc w:val="left"/>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C值抽取范围</w:t>
            </w:r>
          </w:p>
          <w:p>
            <w:pPr>
              <w:widowControl/>
              <w:jc w:val="left"/>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（级差为</w:t>
            </w:r>
            <w:r>
              <w:rPr>
                <w:rFonts w:hint="eastAsia" w:ascii="宋体" w:hAnsi="宋体" w:eastAsia="宋体" w:cs="宋体"/>
                <w:b/>
                <w:i/>
                <w:sz w:val="18"/>
                <w:szCs w:val="18"/>
                <w:highlight w:val="none"/>
                <w:u w:val="single"/>
                <w:lang w:eastAsia="zh-CN"/>
              </w:rPr>
              <w:t>0.25</w:t>
            </w:r>
            <w:r>
              <w:rPr>
                <w:rFonts w:hint="eastAsia" w:ascii="宋体" w:hAnsi="宋体" w:eastAsia="宋体" w:cs="宋体"/>
                <w:b/>
                <w:i/>
                <w:sz w:val="18"/>
                <w:szCs w:val="18"/>
                <w:highlight w:val="none"/>
                <w:u w:val="single"/>
                <w:lang w:val="en-US" w:eastAsia="zh-CN"/>
              </w:rPr>
              <w:t xml:space="preserve"> </w:t>
            </w:r>
            <w:r>
              <w:rPr>
                <w:rFonts w:hint="eastAsia" w:ascii="宋体" w:hAnsi="宋体" w:eastAsia="宋体" w:cs="宋体"/>
                <w:b/>
                <w:sz w:val="18"/>
                <w:szCs w:val="18"/>
                <w:highlight w:val="none"/>
                <w:lang w:eastAsia="zh-CN"/>
              </w:rPr>
              <w:t>%）</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n1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n2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低压开关柜</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b/>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组合互感器</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配电终端(TTU)</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故障录波及时间同步装置</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通信单元（tcd0a1）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通信单元（ssc6763）</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复合绝缘横担</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接地模块</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接地铁</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超高性能混凝土杆</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复合材料杆</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水泥制品</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yellow"/>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yellow"/>
                <w:u w:val="single"/>
                <w:lang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拉紧绝缘子</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交流盘形悬式瓷复合绝缘子</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防鸟设备</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区间平均价浮动法</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[1%，-1%]（含本数）</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none"/>
                <w:u w:val="single"/>
                <w:lang w:eastAsia="zh-CN"/>
              </w:rPr>
            </w:pPr>
            <w:r>
              <w:rPr>
                <w:rFonts w:hint="eastAsia" w:ascii="宋体" w:hAnsi="宋体" w:eastAsia="宋体" w:cs="宋体"/>
                <w:sz w:val="18"/>
                <w:szCs w:val="18"/>
                <w:highlight w:val="none"/>
                <w:lang w:val="en-US" w:eastAsia="zh-CN"/>
              </w:rPr>
              <w:t>1</w:t>
            </w:r>
          </w:p>
        </w:tc>
        <w:tc>
          <w:tcPr>
            <w:tcW w:w="0" w:type="auto"/>
            <w:tcBorders>
              <w:tl2br w:val="nil"/>
              <w:tr2bl w:val="nil"/>
            </w:tcBorders>
            <w:vAlign w:val="center"/>
          </w:tcPr>
          <w:p>
            <w:pPr>
              <w:widowControl/>
              <w:ind w:left="0" w:leftChars="0" w:firstLine="0" w:firstLineChars="0"/>
              <w:jc w:val="left"/>
              <w:rPr>
                <w:rFonts w:hint="eastAsia" w:ascii="宋体" w:hAnsi="宋体" w:eastAsia="宋体" w:cs="宋体"/>
                <w:i/>
                <w:sz w:val="18"/>
                <w:szCs w:val="18"/>
                <w:highlight w:val="none"/>
                <w:u w:val="single"/>
                <w:lang w:eastAsia="zh-CN"/>
              </w:rPr>
            </w:pPr>
            <w:r>
              <w:rPr>
                <w:rFonts w:hint="eastAsia" w:ascii="宋体" w:hAnsi="宋体" w:eastAsia="宋体" w:cs="宋体"/>
                <w:sz w:val="18"/>
                <w:szCs w:val="18"/>
                <w:highlight w:val="none"/>
                <w:lang w:val="en-US" w:eastAsia="zh-CN"/>
              </w:rPr>
              <w:t>1</w:t>
            </w:r>
          </w:p>
        </w:tc>
      </w:tr>
    </w:tbl>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.1.3区间平均价浮动法参数设置，若公告中评标办法与第三章评标办法前附表之一有差别，以公告为准。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1.4本次招标项目不设定最高限价。</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.1.5授标原则：</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评标委员会推荐中标次序按同一分标下，综合评价得分排序从高到低的投标人顺序进行；综合评分相等时，以技术得分高的优先；技术得分也相等的，以投标报价低的优先；如果投标报价也相等，由招标人自行确定。</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11.1.5.1</w:t>
      </w:r>
      <w:r>
        <w:rPr>
          <w:rFonts w:hint="eastAsia" w:ascii="方正仿宋_GBK" w:hAnsi="方正仿宋_GBK" w:eastAsia="方正仿宋_GBK" w:cs="方正仿宋_GBK"/>
          <w:sz w:val="30"/>
          <w:szCs w:val="30"/>
          <w:lang w:eastAsia="zh-CN"/>
        </w:rPr>
        <w:t>本次各分标中每个投标人在同一分标中被授予的标包数量总计不超过</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个包。</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11.1.5.2当某一分标全部进入详评的投标人的中标标包数量超过条款11.1.5.1规定的限额时，该包授予综合得分最高的投标人。</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试验报告审核标准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.1 投标人应按照资格业绩条件要求提供有效的检测（检验）报告，关于报告出具机构、试验类型、试验项目等具体要求详见各标段相关规定。</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.2 投标文件中《供应商资质能力核实结果证明函件》有试验报告记录且记载数据满足招标文件要求，不需提供材料复印件。</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业绩审核标准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.1 投标人提供的有效期间内合同业绩数量应满足专用资质条件要求。业绩计算以合同签订时间为准。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.2 在投标文件中提供有效的《供应商资质能力核实结果证明函件》的投标人，其业绩以《供应商资质能力核实结果证明函件》所载明的数据为准，不需提供支持文件，《供应商资质能力核实结果证明函件》所载明的有效的核实数据作为评审依据。核实时间段内的业绩支撑文件无需编入投标文件，编入的不作评审。</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color w:val="FF0000"/>
          <w:sz w:val="30"/>
          <w:szCs w:val="30"/>
          <w:lang w:val="en-US" w:eastAsia="zh-CN"/>
        </w:rPr>
        <w:t>11</w:t>
      </w:r>
      <w:r>
        <w:rPr>
          <w:rFonts w:hint="eastAsia" w:ascii="方正仿宋_GBK" w:hAnsi="方正仿宋_GBK" w:eastAsia="方正仿宋_GBK" w:cs="方正仿宋_GBK"/>
          <w:color w:val="FF0000"/>
          <w:sz w:val="30"/>
          <w:szCs w:val="30"/>
          <w:lang w:eastAsia="zh-CN"/>
        </w:rPr>
        <w:t>.</w:t>
      </w:r>
      <w:r>
        <w:rPr>
          <w:rFonts w:hint="eastAsia" w:ascii="方正仿宋_GBK" w:hAnsi="方正仿宋_GBK" w:eastAsia="方正仿宋_GBK" w:cs="方正仿宋_GBK"/>
          <w:color w:val="FF0000"/>
          <w:sz w:val="30"/>
          <w:szCs w:val="30"/>
          <w:lang w:val="en-US" w:eastAsia="zh-CN"/>
        </w:rPr>
        <w:t>3</w:t>
      </w:r>
      <w:r>
        <w:rPr>
          <w:rFonts w:hint="eastAsia" w:ascii="方正仿宋_GBK" w:hAnsi="方正仿宋_GBK" w:eastAsia="方正仿宋_GBK" w:cs="方正仿宋_GBK"/>
          <w:color w:val="FF0000"/>
          <w:sz w:val="30"/>
          <w:szCs w:val="30"/>
          <w:lang w:eastAsia="zh-CN"/>
        </w:rPr>
        <w:t>.3 对于未在投标文件中提供相应产品《供应商资质能力核实结果证明函件》的投标人，为保证其投标文件中供货业绩真实可靠，所投标包相关业绩必须为投标人自身业绩，销售业绩必须提供对应的合同和发票复印件，发票复印件后须附通过国家税务总局全国增值税发票查验平台（网址：https://inv-veri.chinatax.gov.cn/）查验的发票结果截图，“一发票一截图”。所有业绩支撑证明材料内容须保证清晰、可辨认且不得遮盖、涂抹。未提供对应发票查验结果截图或结果截图与平台查验结果不一致的发票金额（数量）不予认可。对于存在造假行为的投标人，将严格按照《国家电网公司供应商不良行为处理管理细则》进行处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.4业绩数量按照物资类别计算，具体要求详见各标段相关规定。</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.5 既有业绩合同供货方和实际产品生产方必须均为投标人。</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.6业绩不认可的有（包括但不限于）：</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①与同类产品制造厂之间的业绩；</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②在试验室或试验站的业绩；</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③与代理商之间的业绩；</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④与非最终用户（即业主单位或负责所供货物运行、使用的单位以外的主体）签订的供货合同；</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⑤出口业绩的外贸合同、发票、报关单及对应产品型号等信息资料难以核实或不全的。</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.7 母子公司、兄弟公司、控股公司的业绩不能相互替代。</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.8收购其他企业，被收购企业注销的，收购方可继承被收购方的业绩。</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.9重组改制中涉及企业合并、分立、名称变更的，须提供充足的证明材料，方可继承原企业的业绩。</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生产许可证及其他许可事项审核标准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.1投标文件中《供应商资质能力核实结果证明函件》函件有生产许可证记录，不需提供材料复印件。在更新材料或没有《供应商资质能力核实结果证明函件》函件的须提供生产许可证复印件。</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.2投标人提供的生产许可证应在有效期内，应与投标产品种类对应。部分标段未要求提供的可不进行审查。</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.3需提供3C认证、入网许可证等其他许可、认定证明文件的，相关文件应覆盖招标物资类别产品，且在有效期内。</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.4关于生产许可证具体要求详见各标段相关规定。</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 xml:space="preserve">  ISO9000系列认证证书审核标准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.1投标文件中《供应商资质能力核实结果证明函件》有ISO9000系列认证证书记录，不需提供证书复印件。在更新材料或没有《供应商资质能力核实结果证明函件》的须提供ISO9000系列认证证书复印件。</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.2  投标人提供的ISO9000系列认证证书应在有效期内。</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11.6</w:t>
      </w:r>
      <w:r>
        <w:rPr>
          <w:rFonts w:hint="eastAsia" w:ascii="方正仿宋_GBK" w:hAnsi="方正仿宋_GBK" w:eastAsia="方正仿宋_GBK" w:cs="方正仿宋_GBK"/>
          <w:sz w:val="30"/>
          <w:szCs w:val="30"/>
          <w:lang w:eastAsia="zh-CN"/>
        </w:rPr>
        <w:t>生产试验设备审核标准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40" w:leftChars="200"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投标文件中《供应商资质能力核实结果证明函件》有生产试验设备记录，不需提供生产试验设备合同和发票等凭证复印件。在更新材料或没有《供应商资质能力核实结果证明函件》的须提供生产试验设备合同和发票等凭证复印件。</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31AB05CD"/>
    <w:rsid w:val="23A61C99"/>
    <w:rsid w:val="31AB05CD"/>
    <w:rsid w:val="493C25D4"/>
    <w:rsid w:val="6382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00" w:firstLineChars="200"/>
    </w:pPr>
    <w:rPr>
      <w:rFonts w:ascii="方正仿宋_GBK" w:hAnsi="方正仿宋_GBK" w:eastAsia="方正仿宋_GBK" w:cs="Times New Roman"/>
      <w:sz w:val="3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ind w:left="100"/>
    </w:pPr>
    <w:rPr>
      <w:rFonts w:ascii="宋体" w:hAnsi="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2437</Characters>
  <Lines>0</Lines>
  <Paragraphs>0</Paragraphs>
  <TotalTime>0</TotalTime>
  <ScaleCrop>false</ScaleCrop>
  <LinksUpToDate>false</LinksUpToDate>
  <CharactersWithSpaces>2439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2022-10-25T09:06:00Z</dcterms:created>
  <dc:creator>pc</dc:creator>
  <cp:lastModifiedBy>pc</cp:lastModifiedBy>
  <dcterms:modified xsi:type="dcterms:W3CDTF">2022-10-25T09:11:05Z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6FFCB946B6314643926F4993034C4861</vt:lpwstr>
  </property>
</Properties>
</file>